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35175d8k.htm"/>
      <w:bookmarkStart w:id="1" w:name="ksd2351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CARIBOU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001-40631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45-3728228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2929 7th Street, Suite 105</w:t>
      </w:r>
    </w:p>
    <w:p>
      <w:pPr>
        <w:pStyle w:val="TextBody"/>
        <w:bidi w:val="0"/>
        <w:spacing w:before="0" w:after="0"/>
        <w:jc w:val="center"/>
        <w:rPr>
          <w:rFonts w:ascii="Times New Roman" w:hAnsi="Times New Roman"/>
          <w:b/>
          <w:sz w:val="20"/>
        </w:rPr>
      </w:pPr>
      <w:r>
        <w:rPr>
          <w:rFonts w:ascii="Times New Roman" w:hAnsi="Times New Roman"/>
          <w:b/>
          <w:sz w:val="20"/>
        </w:rPr>
        <w:t>Berkeley, California 94710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(510) 982-6030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CRBU</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2.05 Costs Associated with Exit or Disposal Activities.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2026, the Board of Directors (the “Board”) of Caribou Biosciences, Inc. (the “Company”) approved a restructuring of the Company’s operations (the “Restructuring”) as the Company conducts a process to explore strategic alternatives to maximize stockholder value, including the planned discontinuation of clinical trials and further development activities for the Company’s allogeneic CAR-T cell therapy programs, vispacabtagene regedleucel (“vispa-cel”) and CB-011, a substantial reduction of the Company’s workforce, and other cost reduction measures. The reduction in workforce is anticipated to occur in phases with the majority of affected employees expected to depart in the fourth quarter of 2026 with a limited number of employees expected to remain through completion of the Company’s process of exploring strategic alternatives to support transaction execution and business wind-down activities (the “Workforce Reduction”). The Board took these actions in view of the current financing environment for allogeneic CAR-T cell therapies, which has made it increasingly challenging to secure the capital necessary to responsibly advance the Company’s allogeneic CAR-T cell therapy programs.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estimates it will incur expenses of approximately $15 million to $19 million in total related to the Restructuring, a substantial portion of which is expected to be recognized during the fourth quarter of 2026. The anticipated expenses primarily include one-time severance payments, continued healthcare coverage, and related costs of approximately $10 million to $11 million and future costs to wind down the ANTLER phase 1 clinical trial and CaMMouflage phase 1 clinical trial of $5 million to $8 million. The Company also intends to terminate applicable contracts, resolve various intellectual property licensing arrangements, and seek ways to sublease its facilities or terminate facility leases. The Company currently has an ongoing long-term follow up study for patients previously treated with any investigational Company product candidate. The Company is unable at this time to make a good faith determination of an estimate of the amount or range of amounts of other charges, including any charges related to the Company’s facility lease, contract terminations, or asset impairments, and will file an amendment to this Current Report on Form 8-K within four business days after it makes such a determination. The estimates of the charges and expenditures that the Company expects to incur, and the timing thereof, are subject to several assumptions, and actual results may differ materially. The Company may also incur other charges or cash expenditures not currently contemplated due to events that may occur as a result of, or in connection with, the implementation of the Restructuring.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of Sriram Ryali, the Company’s Chief Financial Officer, will terminate on the date the Company executes a binding definitive agreement for a strategic alternative, and such termination would be treated as a termination “without cause” under the Employment Agreement, dated January 2, 2025, between the Company and Mr. Ryali (the “Ryali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set forth in the Ryali Employment Agreement, Mr. Ryali would be entitled to receive the severance payments and benefits provided for under the Ryali Employment Agreement. The foregoing description is qualified in its entirety by reference to the Ryali Employment Agreement, which was filed as Exhibit 10.51 to the Company’s Annual Report on Form 10-K for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the Company issued a press release announcing its decision to explore strategic alternatives, the Restructuring, and the Workforce Reduction. A copy of the press release is furnished as Exhibit 99.1 to this Current Report on Form 8-K and is incorporated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2026, the Board approved initiating a process to evaluate strategic alternatives to maximize stockholder value, including, but not limited to, a merger, acquisition, business combination, or other strategic transactions involving the Company and/or its assets, and approved a planned discontinuation of further development activities for its two allogeneic CAR-T cell therapy programs, vispa-cel for the treatment of relapsed or refractory (r/r) B cell non-Hodgkin lymphoma and CB-011 for the treatment of r/r multiple myeloma. The Board established a Transaction Committee to explore, evaluate, and make recommendations to the Board regarding strategic alternatives. Wedbush Securities Inc. has been engaged as the Company’s exclusive financial advisor to assist in the strategic evaluation process. The Company has not set a timeline for the completion of its review of strategic alternatives and does not intend to provide further updates unless and until the Board has approved a course of action, the review process is concluded, or disclosure is otherwise determined to be appropriate or required. The Company cannot provide any commitment regarding when or if this strategic evaluation process will result in any type of transaction, and there can be no assurance that such activities will result in any agreements or transactions that will enhance stockholder value.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These forward-looking statements include, without limitation, any statements regarding the Company’s plans to explore opportunities to maximize stockholder value, ability to enter into any agreements or transactions in connection with the exploration of potential strategic transactions, or if entered into, that any such agreements or transactions will be successful or on attractive terms; the Company’s plans for cost reductions, including the timing and cost of the Workforce Reduction; and the sufficiency of its estimated cash, cash equivalents, and marketable securities. Management believes that these forward-looking statements are reasonable as and when made. However, such forward-looking statements are subject to risks and uncertainties, and actual results may differ materially from any future results expressed or implied by the forward-looking statements. Risks and uncertainties include, without limitation, risks associated with the Company’s decision to discontinue clinical trials and further development of its allogeneic CAR-T cell therapy programs; the strategic review process, including identifying and executing one or more transactions that maximize stockholder value; implementing a restructuring and workforce reduction; as well as other more general risks associated with obtaining, maintaining, or protecting intellectual property rights related to its product candidates and managing risks associated therewith; and managing expenses; as well as other risk factors described from time to time in the Company’s filings with the Securities and Exchange Commission (the “SEC”), including its Annual Report on Form 10-K for the year ended December 31, 2025, and subsequent SEC filings. In light of the significant uncertainties in these forward-looking statements, you should not rely upon forward-looking statements as predictions of future events. Except as required by law, the Company undertakes no obligation to update publicly any forward-looking statements for any reason.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860"/>
        <w:gridCol w:w="120"/>
        <w:gridCol w:w="861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1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86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873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283"/>
              <w:jc w:val="left"/>
              <w:rPr/>
            </w:pPr>
            <w:hyperlink w:anchor="d235175dex991.htm">
              <w:r>
                <w:rPr>
                  <w:rStyle w:val="InternetLink"/>
                </w:rPr>
                <w:t xml:space="preserve">Press release issued by Caribou Biosciences, Inc. on October 6, 2026 (furnished herewith)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873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353"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363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CARIBOU BIOSCIENCES,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Rachel E. Haurwitz</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Rachel E. Haurwitz</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p>
    <w:p>
      <w:pPr>
        <w:pStyle w:val="TextBody"/>
        <w:bidi w:val="0"/>
        <w:spacing w:before="0" w:after="0"/>
        <w:jc w:val="right"/>
        <w:rPr>
          <w:rFonts w:ascii="Times New Roman" w:hAnsi="Times New Roman"/>
          <w:b/>
          <w:sz w:val="20"/>
        </w:rPr>
      </w:pPr>
      <w:bookmarkStart w:id="2" w:name="d235175dex991.htm"/>
      <w:bookmarkStart w:id="3" w:name="ksd23517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6765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80962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Caribou Biosciences to Evaluate Strategic Alternatives </w:t>
      </w:r>
    </w:p>
    <w:p>
      <w:pPr>
        <w:pStyle w:val="TextBody"/>
        <w:bidi w:val="0"/>
        <w:spacing w:before="240" w:after="0"/>
        <w:jc w:val="center"/>
        <w:rPr/>
      </w:pPr>
      <w:r>
        <w:rPr/>
        <w:t xml:space="preserve">— </w:t>
      </w:r>
      <w:r>
        <w:rPr>
          <w:rFonts w:ascii="Times New Roman" w:hAnsi="Times New Roman"/>
          <w:i/>
          <w:sz w:val="20"/>
        </w:rPr>
        <w:t xml:space="preserve">Company to evaluate strategic alternatives to maximize stockholder value — </w:t>
      </w:r>
    </w:p>
    <w:p>
      <w:pPr>
        <w:pStyle w:val="TextBody"/>
        <w:bidi w:val="0"/>
        <w:spacing w:before="240" w:after="0"/>
        <w:jc w:val="center"/>
        <w:rPr/>
      </w:pPr>
      <w:r>
        <w:rPr/>
        <w:t xml:space="preserve">— </w:t>
      </w:r>
      <w:r>
        <w:rPr>
          <w:rFonts w:ascii="Times New Roman" w:hAnsi="Times New Roman"/>
          <w:i/>
          <w:sz w:val="20"/>
        </w:rPr>
        <w:t xml:space="preserve">Caribou plans to discontinue vispa-cel and CB-011 allogeneic CAR-T cell therapy programs — </w:t>
      </w:r>
    </w:p>
    <w:p>
      <w:pPr>
        <w:pStyle w:val="TextBody"/>
        <w:bidi w:val="0"/>
        <w:spacing w:before="240" w:after="0"/>
        <w:jc w:val="center"/>
        <w:rPr/>
      </w:pPr>
      <w:r>
        <w:rPr/>
        <w:t xml:space="preserve">— </w:t>
      </w:r>
      <w:r>
        <w:rPr>
          <w:rFonts w:ascii="Times New Roman" w:hAnsi="Times New Roman"/>
          <w:i/>
          <w:sz w:val="20"/>
        </w:rPr>
        <w:t xml:space="preserve">Cash, cash equivalents, and marketable securities of $113.8 million as of June 30, 2026 — </w:t>
      </w:r>
    </w:p>
    <w:p>
      <w:pPr>
        <w:pStyle w:val="TextBody"/>
        <w:bidi w:val="0"/>
        <w:spacing w:before="240" w:after="0"/>
        <w:jc w:val="left"/>
        <w:rPr>
          <w:rFonts w:ascii="Times New Roman" w:hAnsi="Times New Roman"/>
          <w:sz w:val="20"/>
        </w:rPr>
      </w:pPr>
      <w:r>
        <w:rPr>
          <w:rFonts w:ascii="Times New Roman" w:hAnsi="Times New Roman"/>
          <w:sz w:val="20"/>
        </w:rPr>
        <w:t xml:space="preserve">BERKELEY, Calif., Oct. 06, 2026 (GLOBE NEWSWIRE) — Caribou Biosciences, Inc. (Nasdaq: CRBU), a leading clinical-stage CRISPR genome-editing biopharmaceutical company, today announced that it is exploring strategic alternatives to maximize stockholder value and plans to discontinue further development activities for its two allogeneic CAR-T cell therapy programs, vispa-cel for the treatment of relapsed or refractory (r/r) B cell non-Hodgkin lymphoma and CB-011 for the treatment of r/r multiple myeloma. In line with this decision, Caribou will implement workforce and cost reductions. </w:t>
      </w:r>
    </w:p>
    <w:p>
      <w:pPr>
        <w:pStyle w:val="TextBody"/>
        <w:bidi w:val="0"/>
        <w:spacing w:before="240" w:after="0"/>
        <w:jc w:val="left"/>
        <w:rPr/>
      </w:pPr>
      <w:r>
        <w:rPr/>
        <w:t>“</w:t>
      </w:r>
      <w:r>
        <w:rPr>
          <w:rFonts w:ascii="Times New Roman" w:hAnsi="Times New Roman"/>
          <w:sz w:val="20"/>
        </w:rPr>
        <w:t xml:space="preserve">This is an extraordinarily difficult decision, particularly because it is in no way a reflection of our belief that vispa-cel and CB-011 have the potential to benefit patients. Vispa-cel is pivotal trial-ready, with FDA alignment already reached on the phase 3 clinical trial design. We believe both programs have demonstrated the potential for allogeneic CAR-T cell therapies to deliver deep and durable responses, while meaningfully expanding access for patients who urgently need treatment options,” said Rachel Haurwitz, PhD, president and CEO of Caribou. “Unfortunately, despite the progress we’ve made, the current financing environment for allogeneic CAR-T cell therapies has made it increasingly challenging to secure the capital necessary to responsibly advance these programs. As a result, we’ve made the difficult decision to evaluate strategic alternatives and plan to discontinue further development of our allogeneic CAR-T cell therapy programs. We’re deeply grateful to the patients and families who placed their trust in us, the physicians and site teams who partnered with us, and every member of the Caribou team whose skill and commitment brought these programs this far and advanced the field of cell therapy.” </w:t>
      </w:r>
    </w:p>
    <w:p>
      <w:pPr>
        <w:pStyle w:val="TextBody"/>
        <w:bidi w:val="0"/>
        <w:spacing w:before="240" w:after="0"/>
        <w:jc w:val="left"/>
        <w:rPr>
          <w:rFonts w:ascii="Times New Roman" w:hAnsi="Times New Roman"/>
          <w:sz w:val="20"/>
        </w:rPr>
      </w:pPr>
      <w:r>
        <w:rPr>
          <w:rFonts w:ascii="Times New Roman" w:hAnsi="Times New Roman"/>
          <w:sz w:val="20"/>
        </w:rPr>
        <w:t xml:space="preserve">Caribou’s Board of Directors approved initiating a process to evaluate strategic alternatives, including, but not limited to, a merger, acquisition, business combination, or other strategic transactions involving Caribou and/or its assets. Wedbush Securities Inc. has been engaged as the company’s exclusive financial advisor to assist in the strategic evaluation process. Caribou has not set a timeline for the completion of review of strategic alternatives and does not intend to provide further updates unless and until the Board of Directors has approved a course of action, the review process is concluded, or other disclosure is otherwise determined to be appropriate. In conjunction with this announcement, Caribou plans to discontinue further clinical development activities and implement a substantial reduction in workforce, which is expected to be mostly complete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Caribou had $113.8 million in cash, cash equivalents, and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67652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765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vispacabtagene regedleucel </w:t>
      </w:r>
    </w:p>
    <w:p>
      <w:pPr>
        <w:pStyle w:val="TextBody"/>
        <w:bidi w:val="0"/>
        <w:spacing w:before="120" w:after="0"/>
        <w:jc w:val="left"/>
        <w:rPr>
          <w:rFonts w:ascii="Times New Roman" w:hAnsi="Times New Roman"/>
          <w:sz w:val="20"/>
        </w:rPr>
      </w:pPr>
      <w:r>
        <w:rPr>
          <w:rFonts w:ascii="Times New Roman" w:hAnsi="Times New Roman"/>
          <w:sz w:val="20"/>
        </w:rPr>
        <w:t xml:space="preserve">Vispacabtagene regedleucel (vispa-cel; formerly known as CB-010) is an allogeneic anti-CD19 CAR-T cell therapy evaluated in patients with relapsed or refractory B cell non-Hodgkin lymphoma (r/r B-NHL). To Caribou’s knowledge, vispa-cel is the first allogeneic CAR-T cell therapy in the clinic with a PD-1 knockout, a genome-editing strategy designed to enhance CAR-T cell activity by limiting premature CAR-T cell exhaustion. Vispa-cel is pivotal trial-ready, with FDA alignment already reached on the phase 3 clinical trial design. To Caribou’s knowledge, vispa-cel is the first allogeneic CAR-T cell therapy to demonstrate safety, efficacy, and durability on par with autologous CAR-T cell therapies. The FDA granted vispa-cel Regenerative Medicine Advanced Therapy (RMAT), Fast Track, and Orphan Drug designations for B-NHL. </w:t>
      </w:r>
    </w:p>
    <w:p>
      <w:pPr>
        <w:pStyle w:val="TextBody"/>
        <w:bidi w:val="0"/>
        <w:spacing w:before="360" w:after="0"/>
        <w:jc w:val="left"/>
        <w:rPr>
          <w:rFonts w:ascii="Times New Roman" w:hAnsi="Times New Roman"/>
          <w:b/>
          <w:sz w:val="20"/>
        </w:rPr>
      </w:pPr>
      <w:r>
        <w:rPr>
          <w:rFonts w:ascii="Times New Roman" w:hAnsi="Times New Roman"/>
          <w:b/>
          <w:sz w:val="20"/>
        </w:rPr>
        <w:t xml:space="preserve">About CB-011 </w:t>
      </w:r>
    </w:p>
    <w:p>
      <w:pPr>
        <w:pStyle w:val="TextBody"/>
        <w:bidi w:val="0"/>
        <w:spacing w:before="120" w:after="0"/>
        <w:jc w:val="left"/>
        <w:rPr>
          <w:rFonts w:ascii="Times New Roman" w:hAnsi="Times New Roman"/>
          <w:sz w:val="20"/>
        </w:rPr>
      </w:pPr>
      <w:r>
        <w:rPr>
          <w:rFonts w:ascii="Times New Roman" w:hAnsi="Times New Roman"/>
          <w:sz w:val="20"/>
        </w:rPr>
        <w:t xml:space="preserve">CB-011 is an allogeneic anti-BCMA CAR-T cell therapy evaluated in patients with relapsed or refractory multiple myeloma (r/r MM). To Caribou’s knowledge, CB-011 is the first allogeneic CAR-T cell therapy in the clinic that is engineered to enable activity through an immune cloaking strategy with a B2M knockout and insertion of a B2M–HLA-E-peptide fusion protein to blunt immune-mediated rejection. Clinical data from the CB-011 CaMMouflage phase 1 trial has demonstrated the potential for deep, durable responses in patients with r/r MM. The FDA granted CB-011 RMAT, Fast Track, and Orphan Drug designations for r/r MM. </w:t>
      </w:r>
    </w:p>
    <w:p>
      <w:pPr>
        <w:pStyle w:val="TextBody"/>
        <w:bidi w:val="0"/>
        <w:spacing w:before="360" w:after="0"/>
        <w:jc w:val="left"/>
        <w:rPr>
          <w:rFonts w:ascii="Times New Roman" w:hAnsi="Times New Roman"/>
          <w:b/>
          <w:sz w:val="20"/>
        </w:rPr>
      </w:pPr>
      <w:r>
        <w:rPr>
          <w:rFonts w:ascii="Times New Roman" w:hAnsi="Times New Roman"/>
          <w:b/>
          <w:sz w:val="20"/>
        </w:rPr>
        <w:t xml:space="preserve">About Caribou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Caribou is a clinical-stage CRISPR genome-editing biopharmaceutical company dedicated to developing transformative therapies for patients with devastating diseases. Caribou’s chRDNA genome-editing technology enables superior precision to develop cell therapies that are armored to potentially improve activity against diseases. For more information, please visit www.cariboubio.com.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and important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These forward-looking statements include, but are not limited to, any statements regarding Caribou’s plans to explore opportunities to maximize stockholder value, ability to enter into any agreements or transactions in connection with potential strategic transactions, or if entered into, that any such agreements or transactions will be successful or on attractive terms; Caribou’s plans for cost reductions; and the sufficiency of its estimated cash, cash equivalents, and marketable securities. Management believes that these forward-looking statements are reasonable as and when made. However, such forward-looking statements are subject to risks and uncertainties, and actual results may differ materially from any future results expressed or implied by the forward-looking statements. Risks and uncertainties include, without limitation, risks associated with Caribou’s decision to initiate the strategic review process, including identifying and executing one or more transactions that maximize stockholder value; discontinue clinical trials and further development of its allogeneic CAR-T cell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676525" cy="809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765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therapy programs; implement a restructuring and workforce reduction; as well as other more general risks associated with obtaining, maintaining or protecting intellectual property rights related to its product candidates and managing risks associated therewith; and managing expenses; among others; as well as other risk factors described from time to time in Caribou’s filings with the Securities and Exchange Commission (SEC), including its Annual Report on Form 10-K for the year ended December 31, 2025, and subsequent SEC filings. In light of the significant uncertainties in these forward-looking statements, you should not rely upon forward-looking statements as predictions of future events. Except as required by law, Caribou undertakes no obligation to update publicly any forward-looking statements for any reason. </w:t>
      </w:r>
    </w:p>
    <w:p>
      <w:pPr>
        <w:pStyle w:val="TextBody"/>
        <w:bidi w:val="0"/>
        <w:spacing w:before="360" w:after="0"/>
        <w:jc w:val="left"/>
        <w:rPr>
          <w:rFonts w:ascii="Times New Roman" w:hAnsi="Times New Roman"/>
          <w:b/>
          <w:sz w:val="20"/>
        </w:rPr>
      </w:pPr>
      <w:r>
        <w:rPr>
          <w:rFonts w:ascii="Times New Roman" w:hAnsi="Times New Roman"/>
          <w:b/>
          <w:sz w:val="20"/>
        </w:rPr>
        <w:t xml:space="preserve">Caribou Biosciences, Inc. contact: </w:t>
      </w:r>
    </w:p>
    <w:p>
      <w:pPr>
        <w:pStyle w:val="TextBody"/>
        <w:bidi w:val="0"/>
        <w:spacing w:before="120" w:after="0"/>
        <w:jc w:val="left"/>
        <w:rPr>
          <w:rFonts w:ascii="Times New Roman" w:hAnsi="Times New Roman"/>
          <w:sz w:val="20"/>
        </w:rPr>
      </w:pPr>
      <w:r>
        <w:rPr>
          <w:rFonts w:ascii="Times New Roman" w:hAnsi="Times New Roman"/>
          <w:sz w:val="20"/>
        </w:rPr>
        <w:t xml:space="preserve">Peggy Vorwald, PhD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investor.relations@cariboubio.com </w:t>
      </w:r>
    </w:p>
    <w:p>
      <w:pPr>
        <w:pStyle w:val="TextBody"/>
        <w:bidi w:val="0"/>
        <w:spacing w:before="0" w:after="0"/>
        <w:jc w:val="left"/>
        <w:rPr>
          <w:rFonts w:ascii="Times New Roman" w:hAnsi="Times New Roman"/>
          <w:sz w:val="20"/>
        </w:rPr>
      </w:pPr>
      <w:r>
        <w:rPr>
          <w:rFonts w:ascii="Times New Roman" w:hAnsi="Times New Roman"/>
          <w:sz w:val="20"/>
        </w:rPr>
        <w:t xml:space="preserve">media@cariboubio.com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2731</Words>
  <Characters>16169</Characters>
  <CharactersWithSpaces>18914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