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6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color w:val="000000"/>
                <w:sz w:val="16"/>
              </w:rPr>
            </w:pPr>
            <w:r>
              <w:rPr>
                <w:rFonts w:ascii="Wingdings;sans-serif" w:hAnsi="Wingdings;sans-serif"/>
                <w:b/>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001-40631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60" w:after="283"/>
        <w:jc w:val="center"/>
        <w:rPr>
          <w:rFonts w:ascii="Times New Roman;sans-serif" w:hAnsi="Times New Roman;sans-serif"/>
          <w:b/>
          <w:color w:val="000000"/>
          <w:sz w:val="40"/>
        </w:rPr>
      </w:pPr>
      <w:r>
        <w:rPr>
          <w:rFonts w:ascii="Times New Roman;sans-serif" w:hAnsi="Times New Roman;sans-serif"/>
          <w:b/>
          <w:color w:val="000000"/>
          <w:sz w:val="40"/>
        </w:rPr>
        <w:t>Caribou Biosciences,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tbl>
      <w:tblPr>
        <w:tblW w:w="4000" w:type="dxa"/>
        <w:jc w:val="left"/>
        <w:tblInd w:w="0" w:type="dxa"/>
        <w:tblLayout w:type="fixed"/>
        <w:tblCellMar>
          <w:top w:w="28" w:type="dxa"/>
          <w:left w:w="28" w:type="dxa"/>
          <w:bottom w:w="28" w:type="dxa"/>
          <w:right w:w="28" w:type="dxa"/>
        </w:tblCellMar>
      </w:tblPr>
      <w:tblGrid>
        <w:gridCol w:w="877"/>
        <w:gridCol w:w="771"/>
        <w:gridCol w:w="781"/>
        <w:gridCol w:w="109"/>
        <w:gridCol w:w="109"/>
        <w:gridCol w:w="109"/>
        <w:gridCol w:w="363"/>
        <w:gridCol w:w="363"/>
        <w:gridCol w:w="518"/>
      </w:tblGrid>
      <w:tr>
        <w:trPr/>
        <w:tc>
          <w:tcPr>
            <w:tcW w:w="87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45-3728228</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15"/>
              <w:jc w:val="center"/>
              <w:rPr>
                <w:rFonts w:ascii="Times New Roman;sans-serif" w:hAnsi="Times New Roman;sans-serif"/>
                <w:b/>
                <w:color w:val="000000"/>
                <w:sz w:val="20"/>
              </w:rPr>
            </w:pPr>
            <w:r>
              <w:rPr>
                <w:rFonts w:ascii="Times New Roman;sans-serif" w:hAnsi="Times New Roman;sans-serif"/>
                <w:b/>
                <w:color w:val="000000"/>
                <w:sz w:val="20"/>
              </w:rPr>
              <w:t>2929 7th Street, Suite 105</w:t>
            </w:r>
          </w:p>
          <w:p>
            <w:pPr>
              <w:pStyle w:val="TableContents"/>
              <w:bidi w:val="0"/>
              <w:spacing w:lineRule="auto" w:line="288" w:before="0" w:after="15"/>
              <w:jc w:val="center"/>
              <w:rPr>
                <w:rFonts w:ascii="Times New Roman;sans-serif" w:hAnsi="Times New Roman;sans-serif"/>
                <w:b/>
                <w:color w:val="000000"/>
                <w:sz w:val="20"/>
              </w:rPr>
            </w:pPr>
            <w:r>
              <w:rPr>
                <w:rFonts w:ascii="Times New Roman;sans-serif" w:hAnsi="Times New Roman;sans-serif"/>
                <w:b/>
                <w:color w:val="000000"/>
                <w:sz w:val="20"/>
              </w:rPr>
              <w:t>Berkeley,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94710</w:t>
            </w:r>
          </w:p>
        </w:tc>
      </w:tr>
      <w:tr>
        <w:trPr/>
        <w:tc>
          <w:tcPr>
            <w:tcW w:w="24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(510) 982-6030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6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66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84"/>
        <w:gridCol w:w="484"/>
        <w:gridCol w:w="48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CRBU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bidi w:val="0"/>
        <w:spacing w:lineRule="auto" w:line="288" w:before="60" w:after="283"/>
        <w:ind w:left="0" w:right="0" w:firstLine="72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No </w:t>
      </w:r>
      <w:r>
        <w:rPr>
          <w:rFonts w:ascii="Wingdings;sans-serif" w:hAnsi="Wingdings;sans-serif"/>
          <w:b w:val="false"/>
          <w:color w:val="000000"/>
          <w:sz w:val="18"/>
        </w:rPr>
        <w:t>x</w:t>
      </w:r>
      <w:r>
        <w:rPr>
          <w:color w:val="000000"/>
        </w:rPr>
        <w:t xml:space="preserve"> </w:t>
      </w:r>
    </w:p>
    <w:p>
      <w:pPr>
        <w:pStyle w:val="TextBody"/>
        <w:bidi w:val="0"/>
        <w:spacing w:lineRule="auto" w:line="288" w:before="6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2, 2023, the registrant had 88,431,136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405" w:type="dxa"/>
        <w:jc w:val="left"/>
        <w:tblInd w:w="0" w:type="dxa"/>
        <w:tblLayout w:type="fixed"/>
        <w:tblCellMar>
          <w:top w:w="28" w:type="dxa"/>
          <w:left w:w="28" w:type="dxa"/>
          <w:bottom w:w="28" w:type="dxa"/>
          <w:right w:w="28" w:type="dxa"/>
        </w:tblCellMar>
      </w:tblPr>
      <w:tblGrid>
        <w:gridCol w:w="320"/>
        <w:gridCol w:w="281"/>
        <w:gridCol w:w="283"/>
        <w:gridCol w:w="2669"/>
        <w:gridCol w:w="2669"/>
        <w:gridCol w:w="2672"/>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0">
              <w:r>
                <w:rPr>
                  <w:rStyle w:val="InternetLink"/>
                  <w:rFonts w:ascii="Times New Roman;sans-serif" w:hAnsi="Times New Roman;sans-serif"/>
                  <w:b/>
                  <w:strike w:val="false"/>
                  <w:dstrike w:val="false"/>
                  <w:color w:val="000000"/>
                  <w:sz w:val="20"/>
                  <w:u w:val="none"/>
                  <w:effect w:val="none"/>
                </w:rPr>
                <w:t>PART I.</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0">
              <w:r>
                <w:rPr>
                  <w:rStyle w:val="InternetLink"/>
                  <w:rFonts w:ascii="Times New Roman;sans-serif" w:hAnsi="Times New Roman;sans-serif"/>
                  <w:b w:val="false"/>
                  <w:color w:val="0000FF"/>
                  <w:sz w:val="20"/>
                  <w:u w:val="single"/>
                </w:rPr>
                <w:t>FINANCIAL INFORMATION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right"/>
              <w:rPr/>
            </w:pPr>
            <w:hyperlink w:anchor="idc5135c9f3d9491389535023a9db9d23_10">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3">
              <w:r>
                <w:rPr>
                  <w:rStyle w:val="InternetLink"/>
                  <w:rFonts w:ascii="Times New Roman;sans-serif" w:hAnsi="Times New Roman;sans-serif"/>
                  <w:b w:val="false"/>
                  <w:strike w:val="false"/>
                  <w:dstrike w:val="false"/>
                  <w:color w:val="000000"/>
                  <w:sz w:val="20"/>
                  <w:u w:val="none"/>
                  <w:effect w:val="non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3">
              <w:r>
                <w:rPr>
                  <w:rStyle w:val="InternetLink"/>
                  <w:rFonts w:ascii="Times New Roman;sans-serif" w:hAnsi="Times New Roman;sans-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6">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6">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6">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9">
              <w:r>
                <w:rPr>
                  <w:rStyle w:val="InternetLink"/>
                  <w:rFonts w:ascii="Times New Roman;sans-serif" w:hAnsi="Times New Roman;sans-serif"/>
                  <w:b w:val="false"/>
                  <w:color w:val="0000FF"/>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9">
              <w:r>
                <w:rPr>
                  <w:rStyle w:val="InternetLink"/>
                  <w:rFonts w:ascii="Times New Roman;sans-serif" w:hAnsi="Times New Roman;sans-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5135c9f3d9491389535023a9db9d23_22">
              <w:r>
                <w:rPr>
                  <w:rStyle w:val="InternetLink"/>
                  <w:rFonts w:ascii="Times New Roman;sans-serif" w:hAnsi="Times New Roman;sans-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22">
              <w:r>
                <w:rPr>
                  <w:rStyle w:val="InternetLink"/>
                  <w:rFonts w:ascii="Times New Roman;sans-serif" w:hAnsi="Times New Roman;sans-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25">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25">
              <w:r>
                <w:rPr>
                  <w:rStyle w:val="InternetLink"/>
                  <w:rFonts w:ascii="Times New Roman;sans-serif" w:hAnsi="Times New Roman;sans-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28">
              <w:r>
                <w:rPr>
                  <w:rStyle w:val="InternetLink"/>
                  <w:rFonts w:ascii="Times New Roman;sans-serif" w:hAnsi="Times New Roman;sans-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28">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82">
              <w:r>
                <w:rPr>
                  <w:rStyle w:val="InternetLink"/>
                  <w:rFonts w:ascii="Times New Roman;sans-serif" w:hAnsi="Times New Roman;sans-serif"/>
                  <w:b w:val="false"/>
                  <w:strike w:val="false"/>
                  <w:dstrike w:val="false"/>
                  <w:color w:val="000000"/>
                  <w:sz w:val="20"/>
                  <w:u w:val="none"/>
                  <w:effect w:val="non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82">
              <w:r>
                <w:rPr>
                  <w:rStyle w:val="InternetLink"/>
                  <w:rFonts w:ascii="Times New Roman;sans-serif" w:hAnsi="Times New Roman;sans-serif"/>
                  <w:b w:val="false"/>
                  <w:strike w:val="false"/>
                  <w:dstrike w:val="false"/>
                  <w:color w:val="000000"/>
                  <w:sz w:val="20"/>
                  <w:u w:val="none"/>
                  <w:effect w:val="none"/>
                </w:rPr>
                <w:t>21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12">
              <w:r>
                <w:rPr>
                  <w:rStyle w:val="InternetLink"/>
                  <w:rFonts w:ascii="Times New Roman;sans-serif" w:hAnsi="Times New Roman;sans-serif"/>
                  <w:b w:val="false"/>
                  <w:strike w:val="false"/>
                  <w:dstrike w:val="false"/>
                  <w:color w:val="000000"/>
                  <w:sz w:val="20"/>
                  <w:u w:val="none"/>
                  <w:effect w:val="none"/>
                </w:rPr>
                <w:t>Item 3.</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12">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12">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15">
              <w:r>
                <w:rPr>
                  <w:rStyle w:val="InternetLink"/>
                  <w:rFonts w:ascii="Times New Roman;sans-serif" w:hAnsi="Times New Roman;sans-serif"/>
                  <w:b w:val="false"/>
                  <w:strike w:val="false"/>
                  <w:dstrike w:val="false"/>
                  <w:color w:val="000000"/>
                  <w:sz w:val="20"/>
                  <w:u w:val="none"/>
                  <w:effect w:val="none"/>
                </w:rPr>
                <w:t>Item 4.</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15">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15">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18">
              <w:r>
                <w:rPr>
                  <w:rStyle w:val="InternetLink"/>
                  <w:rFonts w:ascii="Times New Roman;sans-serif" w:hAnsi="Times New Roman;sans-serif"/>
                  <w:b/>
                  <w:strike w:val="false"/>
                  <w:dstrike w:val="false"/>
                  <w:color w:val="000000"/>
                  <w:sz w:val="20"/>
                  <w:u w:val="none"/>
                  <w:effect w:val="none"/>
                </w:rPr>
                <w:t>PART II.</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18">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18">
              <w:r>
                <w:rPr>
                  <w:rStyle w:val="InternetLink"/>
                  <w:rFonts w:ascii="Times New Roman;sans-serif" w:hAnsi="Times New Roman;sans-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21">
              <w:r>
                <w:rPr>
                  <w:rStyle w:val="InternetLink"/>
                  <w:rFonts w:ascii="Times New Roman;sans-serif" w:hAnsi="Times New Roman;sans-serif"/>
                  <w:b w:val="false"/>
                  <w:strike w:val="false"/>
                  <w:dstrike w:val="false"/>
                  <w:color w:val="000000"/>
                  <w:sz w:val="20"/>
                  <w:u w:val="none"/>
                  <w:effect w:val="non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21">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21">
              <w:r>
                <w:rPr>
                  <w:rStyle w:val="InternetLink"/>
                  <w:rFonts w:ascii="Times New Roman;sans-serif" w:hAnsi="Times New Roman;sans-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24">
              <w:r>
                <w:rPr>
                  <w:rStyle w:val="InternetLink"/>
                  <w:rFonts w:ascii="Times New Roman;sans-serif" w:hAnsi="Times New Roman;sans-serif"/>
                  <w:b w:val="false"/>
                  <w:strike w:val="false"/>
                  <w:dstrike w:val="false"/>
                  <w:color w:val="000000"/>
                  <w:sz w:val="20"/>
                  <w:u w:val="none"/>
                  <w:effect w:val="none"/>
                </w:rPr>
                <w:t>Item 1A.</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24">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24">
              <w:r>
                <w:rPr>
                  <w:rStyle w:val="InternetLink"/>
                  <w:rFonts w:ascii="Times New Roman;sans-serif" w:hAnsi="Times New Roman;sans-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27">
              <w:r>
                <w:rPr>
                  <w:rStyle w:val="InternetLink"/>
                  <w:rFonts w:ascii="Times New Roman;sans-serif" w:hAnsi="Times New Roman;sans-serif"/>
                  <w:b w:val="false"/>
                  <w:strike w:val="false"/>
                  <w:dstrike w:val="false"/>
                  <w:color w:val="000000"/>
                  <w:sz w:val="20"/>
                  <w:u w:val="none"/>
                  <w:effect w:val="non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27">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27">
              <w:r>
                <w:rPr>
                  <w:rStyle w:val="InternetLink"/>
                  <w:rFonts w:ascii="Times New Roman;sans-serif" w:hAnsi="Times New Roman;sans-serif"/>
                  <w:b w:val="false"/>
                  <w:strike w:val="false"/>
                  <w:dstrike w:val="false"/>
                  <w:color w:val="000000"/>
                  <w:sz w:val="20"/>
                  <w:u w:val="none"/>
                  <w:effect w:val="non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30">
              <w:r>
                <w:rPr>
                  <w:rStyle w:val="InternetLink"/>
                  <w:rFonts w:ascii="Times New Roman;sans-serif" w:hAnsi="Times New Roman;sans-serif"/>
                  <w:b w:val="false"/>
                  <w:strike w:val="false"/>
                  <w:dstrike w:val="false"/>
                  <w:color w:val="000000"/>
                  <w:sz w:val="20"/>
                  <w:u w:val="none"/>
                  <w:effect w:val="none"/>
                </w:rPr>
                <w:t>Item 6.</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30">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30">
              <w:r>
                <w:rPr>
                  <w:rStyle w:val="InternetLink"/>
                  <w:rFonts w:ascii="Times New Roman;sans-serif" w:hAnsi="Times New Roman;sans-serif"/>
                  <w:b w:val="false"/>
                  <w:strike w:val="false"/>
                  <w:dstrike w:val="false"/>
                  <w:color w:val="000000"/>
                  <w:sz w:val="20"/>
                  <w:u w:val="none"/>
                  <w:effect w:val="none"/>
                </w:rPr>
                <w:t>36</w:t>
              </w:r>
            </w:hyperlink>
          </w:p>
        </w:tc>
      </w:tr>
      <w:tr>
        <w:trPr/>
        <w:tc>
          <w:tcPr>
            <w:tcW w:w="8894" w:type="dxa"/>
            <w:gridSpan w:val="6"/>
            <w:tcBorders/>
            <w:tcMar>
              <w:top w:w="0" w:type="dxa"/>
              <w:left w:w="0" w:type="dxa"/>
              <w:bottom w:w="0" w:type="dxa"/>
              <w:right w:w="0" w:type="dxa"/>
            </w:tcMar>
            <w:vAlign w:val="center"/>
          </w:tcPr>
          <w:p>
            <w:pPr>
              <w:pStyle w:val="TableContents"/>
              <w:bidi w:val="0"/>
              <w:spacing w:lineRule="auto" w:line="252" w:before="0" w:after="0"/>
              <w:jc w:val="left"/>
              <w:rPr/>
            </w:pPr>
            <w:hyperlink w:anchor="idc5135c9f3d9491389535023a9db9d23_133">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c5135c9f3d9491389535023a9db9d23_133">
              <w:r>
                <w:rPr>
                  <w:rStyle w:val="InternetLink"/>
                  <w:rFonts w:ascii="Times New Roman;sans-serif" w:hAnsi="Times New Roman;sans-serif"/>
                  <w:b w:val="false"/>
                  <w:strike w:val="false"/>
                  <w:dstrike w:val="false"/>
                  <w:color w:val="000000"/>
                  <w:sz w:val="20"/>
                  <w:u w:val="none"/>
                  <w:effect w:val="non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CARIBOU BIOSCIENCES, INC. AND ITS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067"/>
        <w:gridCol w:w="2230"/>
        <w:gridCol w:w="2242"/>
        <w:gridCol w:w="211"/>
        <w:gridCol w:w="826"/>
        <w:gridCol w:w="109"/>
        <w:gridCol w:w="109"/>
        <w:gridCol w:w="109"/>
        <w:gridCol w:w="109"/>
        <w:gridCol w:w="211"/>
        <w:gridCol w:w="826"/>
        <w:gridCol w:w="156"/>
      </w:tblGrid>
      <w:tr>
        <w:trPr/>
        <w:tc>
          <w:tcPr>
            <w:tcW w:w="3067"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short-term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($2,487 and $150 from related party,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 ($4,352 and $0 from related party,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MSKCC success payments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$0.0001 per share, 10,000,000 shares authorized at September 30, 2023 and December 31, 2022; no shares issued and outstanding as of September 30, 2023 and December 31,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 300,000,000 shares authorized at September 30, 2023 and December 31, 2022, respectively; 88,430,609 and 61,029,184 shares issued and outstanding as of September 30, 2023 and December 31,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373,765 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CARIBOU BIOSCIENCES, INC. AND ITS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90"/>
        <w:gridCol w:w="1305"/>
        <w:gridCol w:w="1311"/>
        <w:gridCol w:w="244"/>
        <w:gridCol w:w="837"/>
        <w:gridCol w:w="110"/>
        <w:gridCol w:w="110"/>
        <w:gridCol w:w="110"/>
        <w:gridCol w:w="110"/>
        <w:gridCol w:w="228"/>
        <w:gridCol w:w="854"/>
        <w:gridCol w:w="110"/>
        <w:gridCol w:w="109"/>
        <w:gridCol w:w="109"/>
        <w:gridCol w:w="109"/>
        <w:gridCol w:w="240"/>
        <w:gridCol w:w="841"/>
        <w:gridCol w:w="109"/>
        <w:gridCol w:w="109"/>
        <w:gridCol w:w="109"/>
        <w:gridCol w:w="109"/>
        <w:gridCol w:w="240"/>
        <w:gridCol w:w="841"/>
        <w:gridCol w:w="161"/>
      </w:tblGrid>
      <w:tr>
        <w:trPr/>
        <w:tc>
          <w:tcPr>
            <w:tcW w:w="179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collaboration revenue (including $622 and $1,772 for three and nine months ended September 2023, respectively, from related parties, and none for all other periods)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the MSKCC success payments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available-for-sale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comprehensive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83,783,992 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60,886,921 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68,878,921 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60,731,520 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CARIBOU BIOSCIENCES, INC. AND ITS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986"/>
        <w:gridCol w:w="805"/>
        <w:gridCol w:w="808"/>
        <w:gridCol w:w="254"/>
        <w:gridCol w:w="254"/>
        <w:gridCol w:w="258"/>
        <w:gridCol w:w="109"/>
        <w:gridCol w:w="109"/>
        <w:gridCol w:w="109"/>
        <w:gridCol w:w="206"/>
        <w:gridCol w:w="240"/>
        <w:gridCol w:w="125"/>
        <w:gridCol w:w="109"/>
        <w:gridCol w:w="109"/>
        <w:gridCol w:w="109"/>
        <w:gridCol w:w="202"/>
        <w:gridCol w:w="691"/>
        <w:gridCol w:w="122"/>
        <w:gridCol w:w="109"/>
        <w:gridCol w:w="109"/>
        <w:gridCol w:w="109"/>
        <w:gridCol w:w="335"/>
        <w:gridCol w:w="892"/>
        <w:gridCol w:w="204"/>
        <w:gridCol w:w="109"/>
        <w:gridCol w:w="109"/>
        <w:gridCol w:w="109"/>
        <w:gridCol w:w="181"/>
        <w:gridCol w:w="646"/>
        <w:gridCol w:w="109"/>
        <w:gridCol w:w="109"/>
        <w:gridCol w:w="109"/>
        <w:gridCol w:w="109"/>
        <w:gridCol w:w="236"/>
        <w:gridCol w:w="808"/>
        <w:gridCol w:w="208"/>
      </w:tblGrid>
      <w:tr>
        <w:trPr/>
        <w:tc>
          <w:tcPr>
            <w:tcW w:w="9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Other Comprehensive </w:t>
              <w:br/>
              <w:t xml:space="preserve">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4"/>
              </w:rPr>
            </w:pPr>
            <w:r>
              <w:rPr>
                <w:rFonts w:ascii="Times New Roman;sans-serif" w:hAnsi="Times New Roman;sans-serif"/>
                <w:b/>
                <w:color w:val="000000"/>
                <w:sz w:val="14"/>
              </w:rPr>
              <w:t>BALANCE—December 31, 2022</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61,029,184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499,598 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(1,518)</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300,871 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plans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on exercise of options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Issuance of common stock in connection with at-the-market offering, net of offering expenses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(28,044)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4"/>
              </w:rPr>
            </w:pPr>
            <w:r>
              <w:rPr>
                <w:rFonts w:ascii="Times New Roman;sans-serif" w:hAnsi="Times New Roman;sans-serif"/>
                <w:b/>
                <w:color w:val="000000"/>
                <w:sz w:val="14"/>
              </w:rPr>
              <w:t>BALANCE—March 31, 2023</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61,323,523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504,255 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278,272 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on exercise of options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pursuant to a private placement with Pfizer</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4,690,431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(29,519)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4"/>
              </w:rPr>
            </w:pPr>
            <w:r>
              <w:rPr>
                <w:rFonts w:ascii="Times New Roman;sans-serif" w:hAnsi="Times New Roman;sans-serif"/>
                <w:b/>
                <w:color w:val="000000"/>
                <w:sz w:val="14"/>
              </w:rPr>
              <w:t>BALANCE—June 30, 2023</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66,100,039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525,366 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(1,136)</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269,458 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plans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on exercise of options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on RSU release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in connection with follow-on public offering, net of offering expenses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22,115,384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134,423 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134,425 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4"/>
              </w:rPr>
            </w:pPr>
            <w:r>
              <w:rPr>
                <w:rFonts w:ascii="Times New Roman;sans-serif" w:hAnsi="Times New Roman;sans-serif"/>
                <w:b/>
                <w:color w:val="000000"/>
                <w:sz w:val="14"/>
              </w:rPr>
              <w:t>BALANCE—September 30, 2023</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88,430,609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664,021 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(981)</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398,268 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4"/>
              </w:rPr>
            </w:pPr>
            <w:r>
              <w:rPr>
                <w:rFonts w:ascii="Times New Roman;sans-serif" w:hAnsi="Times New Roman;sans-serif"/>
                <w:b/>
                <w:color w:val="000000"/>
                <w:sz w:val="14"/>
              </w:rPr>
              <w:t>BALANCE—December 31, 2021</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60,263,158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485,748 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387,825 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plans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on exercise of options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(19,088)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4"/>
              </w:rPr>
            </w:pPr>
            <w:r>
              <w:rPr>
                <w:rFonts w:ascii="Times New Roman;sans-serif" w:hAnsi="Times New Roman;sans-serif"/>
                <w:b/>
                <w:color w:val="000000"/>
                <w:sz w:val="14"/>
              </w:rPr>
              <w:t>BALANCE—March 31, 2022</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60,689,609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489,762 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(1,089)</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371,797 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on exercise of options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(26,697)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4"/>
              </w:rPr>
            </w:pPr>
            <w:r>
              <w:rPr>
                <w:rFonts w:ascii="Times New Roman;sans-serif" w:hAnsi="Times New Roman;sans-serif"/>
                <w:b/>
                <w:color w:val="000000"/>
                <w:sz w:val="14"/>
              </w:rPr>
              <w:t>BALANCE—June 30, 2022</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60,838,370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493,043 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347,889 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on exercise of options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(26,647)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14"/>
              </w:rPr>
            </w:pPr>
            <w:r>
              <w:rPr>
                <w:rFonts w:ascii="Times New Roman;sans-serif" w:hAnsi="Times New Roman;sans-serif"/>
                <w:b/>
                <w:color w:val="000000"/>
                <w:sz w:val="14"/>
              </w:rPr>
              <w:t>BALANCE—September 30, 2022</w:t>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60,986,936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496,369 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(2,035)</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(170,226)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324,114 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CARIBOU BIOSCIENCES, INC. AND ITS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51"/>
        <w:gridCol w:w="2405"/>
        <w:gridCol w:w="2416"/>
        <w:gridCol w:w="211"/>
        <w:gridCol w:w="794"/>
        <w:gridCol w:w="117"/>
        <w:gridCol w:w="117"/>
        <w:gridCol w:w="117"/>
        <w:gridCol w:w="117"/>
        <w:gridCol w:w="211"/>
        <w:gridCol w:w="776"/>
        <w:gridCol w:w="173"/>
      </w:tblGrid>
      <w:tr>
        <w:trPr/>
        <w:tc>
          <w:tcPr>
            <w:tcW w:w="2751"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(67,565)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(72,432)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disposal of fixed assets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consideration for licensing and collaboration revenue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equity securities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MSKCC success payments liability</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in-process research and development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discounts) and amortization of premiums on investments, net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assets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current and long-term</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(71,912)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(65,922)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and maturities of marketable securities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283,193 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(310,566)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(252,552)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to acquire in-process research and development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(36,709)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(94,419)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follow-on public offering, net of offering expenses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in a private placement with Pfizer</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 and purchases of common stock under employee stock purchase plan</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related to at-the-market offering, net of offering expenses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(158,335)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BEGINNING OF PERIOD</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240,466 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104,104 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82,131 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CASH, CASH EQUIVALENTS, AND RESTRICTED CASH</w:t>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82,085 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104,104 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82,131 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CASH FLOW INFORMATION:</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SCHEDULE OF NON-CASH INVESTING AND FINANCING ACTIVITIES:</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included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Offering costs included in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CARIBOU BIOSCIENCES, INC. AND ITS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 Description of the Business, Organization, and Liquidity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Business and Organization</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Caribou Biosciences, Inc. (the “Company” or “we”) is a clinical-stage </w:t>
      </w:r>
      <w:r>
        <w:rPr>
          <w:rFonts w:ascii="Times New Roman;sans-serif" w:hAnsi="Times New Roman;sans-serif"/>
          <w:b/>
          <w:color w:val="000000"/>
          <w:sz w:val="20"/>
        </w:rPr>
        <w:t>C</w:t>
      </w:r>
      <w:r>
        <w:rPr>
          <w:rFonts w:ascii="Times New Roman;sans-serif" w:hAnsi="Times New Roman;sans-serif"/>
          <w:b w:val="false"/>
          <w:color w:val="000000"/>
          <w:sz w:val="20"/>
        </w:rPr>
        <w:t xml:space="preserve">lustered </w:t>
      </w:r>
      <w:r>
        <w:rPr>
          <w:rFonts w:ascii="Times New Roman;sans-serif" w:hAnsi="Times New Roman;sans-serif"/>
          <w:b/>
          <w:color w:val="000000"/>
          <w:sz w:val="20"/>
        </w:rPr>
        <w:t>R</w:t>
      </w:r>
      <w:r>
        <w:rPr>
          <w:rFonts w:ascii="Times New Roman;sans-serif" w:hAnsi="Times New Roman;sans-serif"/>
          <w:b w:val="false"/>
          <w:color w:val="000000"/>
          <w:sz w:val="20"/>
        </w:rPr>
        <w:t xml:space="preserve">egularly </w:t>
      </w:r>
      <w:r>
        <w:rPr>
          <w:rFonts w:ascii="Times New Roman;sans-serif" w:hAnsi="Times New Roman;sans-serif"/>
          <w:b/>
          <w:color w:val="000000"/>
          <w:sz w:val="20"/>
        </w:rPr>
        <w:t>I</w:t>
      </w:r>
      <w:r>
        <w:rPr>
          <w:rFonts w:ascii="Times New Roman;sans-serif" w:hAnsi="Times New Roman;sans-serif"/>
          <w:b w:val="false"/>
          <w:color w:val="000000"/>
          <w:sz w:val="20"/>
        </w:rPr>
        <w:t xml:space="preserve">nterspaced </w:t>
      </w:r>
      <w:r>
        <w:rPr>
          <w:rFonts w:ascii="Times New Roman;sans-serif" w:hAnsi="Times New Roman;sans-serif"/>
          <w:b/>
          <w:color w:val="000000"/>
          <w:sz w:val="20"/>
        </w:rPr>
        <w:t>S</w:t>
      </w:r>
      <w:r>
        <w:rPr>
          <w:rFonts w:ascii="Times New Roman;sans-serif" w:hAnsi="Times New Roman;sans-serif"/>
          <w:b w:val="false"/>
          <w:color w:val="000000"/>
          <w:sz w:val="20"/>
        </w:rPr>
        <w:t xml:space="preserve">hort </w:t>
      </w:r>
      <w:r>
        <w:rPr>
          <w:rFonts w:ascii="Times New Roman;sans-serif" w:hAnsi="Times New Roman;sans-serif"/>
          <w:b/>
          <w:color w:val="000000"/>
          <w:sz w:val="20"/>
        </w:rPr>
        <w:t>P</w:t>
      </w:r>
      <w:r>
        <w:rPr>
          <w:rFonts w:ascii="Times New Roman;sans-serif" w:hAnsi="Times New Roman;sans-serif"/>
          <w:b w:val="false"/>
          <w:color w:val="000000"/>
          <w:sz w:val="20"/>
        </w:rPr>
        <w:t xml:space="preserve">alindromic </w:t>
      </w:r>
      <w:r>
        <w:rPr>
          <w:rFonts w:ascii="Times New Roman;sans-serif" w:hAnsi="Times New Roman;sans-serif"/>
          <w:b/>
          <w:color w:val="000000"/>
          <w:sz w:val="20"/>
        </w:rPr>
        <w:t>R</w:t>
      </w:r>
      <w:r>
        <w:rPr>
          <w:rFonts w:ascii="Times New Roman;sans-serif" w:hAnsi="Times New Roman;sans-serif"/>
          <w:b w:val="false"/>
          <w:color w:val="000000"/>
          <w:sz w:val="20"/>
        </w:rPr>
        <w:t>epeats (“CRISPR”) genome-editing biopharmaceutical company dedicated to developing transformative therapies for patients with devastating diseases. Our genome-editing platform, including our novel chRDNA (</w:t>
      </w:r>
      <w:r>
        <w:rPr>
          <w:rFonts w:ascii="Times New Roman;sans-serif" w:hAnsi="Times New Roman;sans-serif"/>
          <w:b/>
          <w:color w:val="000000"/>
          <w:sz w:val="20"/>
          <w:u w:val="single"/>
        </w:rPr>
        <w:t>C</w:t>
      </w:r>
      <w:r>
        <w:rPr>
          <w:rFonts w:ascii="Times New Roman;sans-serif" w:hAnsi="Times New Roman;sans-serif"/>
          <w:b w:val="false"/>
          <w:color w:val="000000"/>
          <w:sz w:val="20"/>
        </w:rPr>
        <w:t xml:space="preserve">RISPR </w:t>
      </w:r>
      <w:r>
        <w:rPr>
          <w:rFonts w:ascii="Times New Roman;sans-serif" w:hAnsi="Times New Roman;sans-serif"/>
          <w:b/>
          <w:color w:val="000000"/>
          <w:sz w:val="20"/>
          <w:u w:val="single"/>
        </w:rPr>
        <w:t>h</w:t>
      </w:r>
      <w:r>
        <w:rPr>
          <w:rFonts w:ascii="Times New Roman;sans-serif" w:hAnsi="Times New Roman;sans-serif"/>
          <w:b w:val="false"/>
          <w:color w:val="000000"/>
          <w:sz w:val="20"/>
        </w:rPr>
        <w:t xml:space="preserve">ybrid </w:t>
      </w:r>
      <w:r>
        <w:rPr>
          <w:rFonts w:ascii="Times New Roman;sans-serif" w:hAnsi="Times New Roman;sans-serif"/>
          <w:b/>
          <w:color w:val="000000"/>
          <w:sz w:val="20"/>
          <w:u w:val="single"/>
        </w:rPr>
        <w:t>R</w:t>
      </w:r>
      <w:r>
        <w:rPr>
          <w:rFonts w:ascii="Times New Roman;sans-serif" w:hAnsi="Times New Roman;sans-serif"/>
          <w:b w:val="false"/>
          <w:color w:val="000000"/>
          <w:sz w:val="20"/>
        </w:rPr>
        <w:t>NA-</w:t>
      </w:r>
      <w:r>
        <w:rPr>
          <w:rFonts w:ascii="Times New Roman;sans-serif" w:hAnsi="Times New Roman;sans-serif"/>
          <w:b/>
          <w:color w:val="000000"/>
          <w:sz w:val="20"/>
          <w:u w:val="single"/>
        </w:rPr>
        <w:t>DNA</w:t>
      </w:r>
      <w:r>
        <w:rPr>
          <w:rFonts w:ascii="Times New Roman;sans-serif" w:hAnsi="Times New Roman;sans-serif"/>
          <w:b w:val="false"/>
          <w:color w:val="000000"/>
          <w:sz w:val="20"/>
        </w:rPr>
        <w:t>, or “chRDNA,” pronounced “chardonnay”) technology, enables superior editing precision to develop cell therapies that are armored to improve antitumor activity. We are advancing a pipeline of allogeneic, or off-the-shelf, cell therapies from our chimeric antigen receptor (“CAR”) T (“CAR-T”) cell and CAR-natural killer (“CAR-NK”) cell platforms as readily available therapeutic treatments for patients.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incorporated in October 2011 as a Delaware corporation and are headquartered in Berkeley, California. We have four wholly owned subsidiaries: Antler Holdco, LLC, incorporated in Delaware in April 2019; Microbe Holdco, LLC, incorporated in Delaware in June 2020; Arboreal Holdco, LLC, incorporated in Delaware in November 2020; and Biloba Holdco, LLC, incorporated in Delaware in April 2021. Our wholly owned subsidiaries hold interests in our equity investments and do not have operating activities.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and negative cash flows from operations since our inception and we had an accumulated deficit of $264.8 million as of September 30, 2023. During the nine months ended September 30, 2023, we incurred a net loss of $67.6 million and used $71.9 million of cash in operating activities. We expect to continue to incur substantial losses, and our ability to achieve and sustain profitability will depend on the successful development, regulatory approval, and commercialization of our product candidates and on our generation of sufficient revenue to support our cost structure. We may never achieve profitability and, unless and until we do, we will need to continue to raise additional capital. Our management expects that existing cash, cash equivalents, and marketable securities of $396.7 million as of September 30, 2023, will be sufficient to fund our current operating plan for at least the next 12 months from the date of issuance of our condensed consolidated financial statements.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and August of 2023, we issued and sold a total of 22,115,384 shares of our common stock in an underwritten follow-on public offering for total net proceeds of approximately $134.4 million, which included the full exercise of the underwriters’ right to purchase 2,884,615 additional shares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significant accounting policies disclosed in Note 2 to the annual consolidated financial statements for the year ended December 31, 2022, included in our Annual Report on Form 10-K (“Form 10-K”).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accordance with accounting principles generally accepted in the United States (“U.S. GAAP”) and include the accounts of Caribou Biosciences, Inc. and its wholly owned subsidiaries. All intercompany accounts and transactions are eliminated in consolidation.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conformity with U.S. GAAP requires our management to make estimates and assumptions that affect the reported amounts of assets and liabilities; the disclosure of contingent assets and liabilities at the date of our condensed consolidated financial statements; and the reported amounts of revenue, income, and expenses during the applicable reporting period. On an ongoing basis, we evaluate our estimates and assumptions, including those related to revenue recognition, common stock valuation, stock-based compensation expense, accrued expenses related to research and development activities, valuation of the Memorial Sloan Kettering Cancer Center (“MSKCC”) success payments liability, and income taxes. Our management bases its estimates on historical experience and on various other assumptions that they believe to be reasonable under the circumstances, the results of which form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basis for making judgments about the carrying values of assets and liabilities that are not readily apparent from other sources. Actual results may differ materially from those estimates.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and manage our business as one reportable operating segment, which is the business of developing a pipeline of allogeneic CAR-T and CAR-NK cell therapies. Our president and chief executive officer, who is the chief operating decision maker, reviews financial information on an aggregate basis for allocating resources and evaluating financial performance. All long-lived assets are maintained in the United States.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Uncertainties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 of credit risk consist of cash and cash equivalents, accounts receivable, contract assets, other receivables, and investments in marketable securities and equity securities. Substantially all of our cash and cash equivalents are deposited in accounts at two financial institutions, and our account balances exceed federally insured limits. We mitigate the risks by investing in high-grade instruments, limiting our exposure to one issuer, and we monitor the ongoing creditworthiness of the financial institutions and issuers.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Licensees that represent 10% or more of our revenue and accounts receivable and contract assets were as follows: </w:t>
      </w:r>
    </w:p>
    <w:tbl>
      <w:tblPr>
        <w:tblW w:w="10205" w:type="dxa"/>
        <w:jc w:val="left"/>
        <w:tblInd w:w="0" w:type="dxa"/>
        <w:tblLayout w:type="fixed"/>
        <w:tblCellMar>
          <w:top w:w="28" w:type="dxa"/>
          <w:left w:w="28" w:type="dxa"/>
          <w:bottom w:w="28" w:type="dxa"/>
          <w:right w:w="28" w:type="dxa"/>
        </w:tblCellMar>
      </w:tblPr>
      <w:tblGrid>
        <w:gridCol w:w="340"/>
        <w:gridCol w:w="300"/>
        <w:gridCol w:w="301"/>
        <w:gridCol w:w="332"/>
        <w:gridCol w:w="279"/>
        <w:gridCol w:w="695"/>
        <w:gridCol w:w="126"/>
        <w:gridCol w:w="126"/>
        <w:gridCol w:w="126"/>
        <w:gridCol w:w="332"/>
        <w:gridCol w:w="279"/>
        <w:gridCol w:w="695"/>
        <w:gridCol w:w="109"/>
        <w:gridCol w:w="109"/>
        <w:gridCol w:w="109"/>
        <w:gridCol w:w="332"/>
        <w:gridCol w:w="279"/>
        <w:gridCol w:w="695"/>
        <w:gridCol w:w="118"/>
        <w:gridCol w:w="118"/>
        <w:gridCol w:w="118"/>
        <w:gridCol w:w="332"/>
        <w:gridCol w:w="279"/>
        <w:gridCol w:w="695"/>
        <w:gridCol w:w="109"/>
        <w:gridCol w:w="109"/>
        <w:gridCol w:w="109"/>
        <w:gridCol w:w="264"/>
        <w:gridCol w:w="256"/>
        <w:gridCol w:w="581"/>
        <w:gridCol w:w="136"/>
        <w:gridCol w:w="136"/>
        <w:gridCol w:w="136"/>
        <w:gridCol w:w="255"/>
        <w:gridCol w:w="256"/>
        <w:gridCol w:w="634"/>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29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52" w:before="0" w:after="0"/>
              <w:jc w:val="center"/>
              <w:rPr/>
            </w:pPr>
            <w:r>
              <w:rPr>
                <w:rFonts w:ascii="Times New Roman;sans-serif" w:hAnsi="Times New Roman;sans-serif"/>
                <w:b/>
                <w:color w:val="000000"/>
                <w:sz w:val="16"/>
              </w:rPr>
              <w:t>Revenue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52" w:before="0" w:after="0"/>
              <w:jc w:val="center"/>
              <w:rPr/>
            </w:pPr>
            <w:r>
              <w:rPr>
                <w:rFonts w:ascii="Times New Roman;sans-serif" w:hAnsi="Times New Roman;sans-serif"/>
                <w:b/>
                <w:color w:val="000000"/>
                <w:sz w:val="16"/>
              </w:rPr>
              <w:t>Revenue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Accounts Receivable and</w:t>
            </w:r>
          </w:p>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Contract Assets </w:t>
            </w:r>
          </w:p>
        </w:tc>
      </w:tr>
      <w:tr>
        <w:trPr/>
        <w:tc>
          <w:tcPr>
            <w:tcW w:w="941"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2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pPr>
            <w:r>
              <w:rPr>
                <w:rFonts w:ascii="Times New Roman;sans-serif" w:hAnsi="Times New Roman;sans-serif"/>
                <w:b/>
                <w:color w:val="000000"/>
                <w:sz w:val="16"/>
              </w:rPr>
              <w:t>Three Months Ended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 xml:space="preserve">September 30, </w:t>
              <w:b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 xml:space="preserve">December 31, </w:t>
              <w:br/>
              <w:t>2022</w:t>
            </w:r>
          </w:p>
        </w:tc>
      </w:tr>
      <w:tr>
        <w:trPr/>
        <w:tc>
          <w:tcPr>
            <w:tcW w:w="941"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Licensee A</w:t>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r>
              <w:rPr>
                <w:rFonts w:ascii="Times New Roman;sans-serif" w:hAnsi="Times New Roman;sans-serif"/>
                <w:b w:val="false"/>
                <w:color w:val="000000"/>
                <w:sz w:val="20"/>
              </w:rPr>
              <w:t xml:space="preserve">* </w:t>
            </w:r>
          </w:p>
        </w:tc>
        <w:tc>
          <w:tcPr>
            <w:tcW w:w="3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r>
              <w:rPr>
                <w:rFonts w:ascii="Times New Roman;sans-serif" w:hAnsi="Times New Roman;sans-serif"/>
                <w:b w:val="false"/>
                <w:color w:val="000000"/>
                <w:sz w:val="20"/>
              </w:rPr>
              <w:t xml:space="preserve">*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Licensee B</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5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6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10%</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economic conditions to identify facts or circumstances that may indicate if any of our accounts receivable are not collectible or if the contract assets should be impaired. No allowance for credit losses or contract asset impairment was recorded as of September 30, 2023, or December 31,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2016, the Financial Accounting Standards Board (“FASB”) issued ASU 2016-13, Financial Instruments–Credit Losses: Measurement of Credit Losses on Financial Instruments (Topic 326). This ASU provides guidance on the measurement of credit losses for most financial assets and certain other instruments that are not measured at fair value through net income. ASU 2016-13 replaces the current incurred loss impairment approach with a methodology to reflect expected credit losses and requires consideration of a broader range of reasonable and supportable information to explain credit loss estimates. This ASU is to be applied on a modified retrospective approach and is effective for fiscal years, and interim periods within those fiscal years, beginning after December 15, 2022, and interim reporting periods within fiscal years beginning after December 15, 2023. Early adoption is permitted for all entities for fiscal years beginning after December 15, 2018, and interim periods therein. We adopted ASU 2016-13 on January 1, 2023. The impact of ASU 2016-13 on our financial statements and related disclosures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 and Fair Value of Financial Instruments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authoritative guidance on fair value measurements establishes a three-tier fair value hierarchy for disclosure of fair value measurements as follows:</w:t>
      </w:r>
    </w:p>
    <w:p>
      <w:pPr>
        <w:pStyle w:val="TextBody"/>
        <w:bidi w:val="0"/>
        <w:spacing w:lineRule="auto" w:line="288" w:before="200" w:after="283"/>
        <w:jc w:val="left"/>
        <w:rPr/>
      </w:pP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Quoted prices in active markets for identical assets or liabilities.</w:t>
      </w:r>
    </w:p>
    <w:p>
      <w:pPr>
        <w:pStyle w:val="TextBody"/>
        <w:bidi w:val="0"/>
        <w:spacing w:lineRule="auto" w:line="288" w:before="200" w:after="283"/>
        <w:jc w:val="left"/>
        <w:rPr/>
      </w:pP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pP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are classified in their entireties based on the lowest level of input that is significant to the fair value measurement. Our assessment of the significance of a particular input to the fair value measurement in its entirety requires our management to make judgments and consider factors specific to the asset or liability.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Level 1, Level 2, and Level 3 financial instruments. We generally classify our marketable securities as Level 2. Instruments are classified as Level 2 when observable market prices for identical securities that are traded in less active markets are used. When observable market prices for identical securities are not available, such instruments are priced using benchmark curves, benchmarking of like securities, sector groupings, matrix pricing, and valuation models. These valuation models are proprietary to the pricing providers or brokers and incorporate a number of inputs including, in approximate order of priority: benchmark yields, reported trades, broker/dealer quotes, issuer spreads, two-sided markets, benchmark securities, bids, offers, and reference data including market research publications. For certain security types, additional inputs may be used, or some of the standard inputs may not be applicable. Evaluators may prioritize inputs differently on any given day for any security based on market conditions, and not all inputs listed are available for use in the evaluation process for each security evaluation on any given day. Changes in the ability to observe valuation inputs may result in a reclassification of levels of certain securities within the fair value hierarchy. We recognize transfers into and out of levels within the fair value hierarchy in the period in which the actual event or change in circumstances that caused the transfer occurs. No such transfers occurred during the nine months ended September 30, 2023, and 2022. Level 1 financial instruments are comprised of money market fund investments and U.S. Treasury bills. Level 2 financial instruments are comprised of commercial paper, corporate debt securities, and U.S. government agency bonds. Financial assets and liabilities are considered Level 3 when their fair values are determined using pricing models, discounted cash flow methodologies, or similar techniques, and at least one significant model assumption or input is unobservable. Level 3 financial instruments consist of the MSKCC success payments liability.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financial instruments that were measured at fair value on a recurring basis by level within the fair value hierarchy (in thousands):</w:t>
      </w:r>
    </w:p>
    <w:tbl>
      <w:tblPr>
        <w:tblW w:w="10205" w:type="dxa"/>
        <w:jc w:val="left"/>
        <w:tblInd w:w="0" w:type="dxa"/>
        <w:tblLayout w:type="fixed"/>
        <w:tblCellMar>
          <w:top w:w="28" w:type="dxa"/>
          <w:left w:w="28" w:type="dxa"/>
          <w:bottom w:w="28" w:type="dxa"/>
          <w:right w:w="28" w:type="dxa"/>
        </w:tblCellMar>
      </w:tblPr>
      <w:tblGrid>
        <w:gridCol w:w="1779"/>
        <w:gridCol w:w="1558"/>
        <w:gridCol w:w="157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616"/>
        <w:gridCol w:w="156"/>
      </w:tblGrid>
      <w:tr>
        <w:trPr/>
        <w:tc>
          <w:tcPr>
            <w:tcW w:w="177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September 30, 2023</w:t>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 ($84,502 included in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 investments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MSKCC success payments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34"/>
        <w:gridCol w:w="1526"/>
        <w:gridCol w:w="154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616"/>
        <w:gridCol w:w="156"/>
      </w:tblGrid>
      <w:tr>
        <w:trPr/>
        <w:tc>
          <w:tcPr>
            <w:tcW w:w="173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5402"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2022</w:t>
            </w:r>
          </w:p>
        </w:tc>
      </w:tr>
      <w:tr>
        <w:trPr/>
        <w:tc>
          <w:tcPr>
            <w:tcW w:w="4803"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($26,669 included in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 ($3,976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 investments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MSKCC success payments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and amortized cost of cash equivalents and available-for-sale marketable securities by major security type as of September 30, 2023, and December 31, 2022 are presented in the following tables (in thousands): </w:t>
      </w:r>
    </w:p>
    <w:tbl>
      <w:tblPr>
        <w:tblW w:w="10205" w:type="dxa"/>
        <w:jc w:val="left"/>
        <w:tblInd w:w="0" w:type="dxa"/>
        <w:tblLayout w:type="fixed"/>
        <w:tblCellMar>
          <w:top w:w="28" w:type="dxa"/>
          <w:left w:w="28" w:type="dxa"/>
          <w:bottom w:w="28" w:type="dxa"/>
          <w:right w:w="28" w:type="dxa"/>
        </w:tblCellMar>
      </w:tblPr>
      <w:tblGrid>
        <w:gridCol w:w="1813"/>
        <w:gridCol w:w="1587"/>
        <w:gridCol w:w="1596"/>
        <w:gridCol w:w="211"/>
        <w:gridCol w:w="826"/>
        <w:gridCol w:w="109"/>
        <w:gridCol w:w="109"/>
        <w:gridCol w:w="109"/>
        <w:gridCol w:w="109"/>
        <w:gridCol w:w="274"/>
        <w:gridCol w:w="469"/>
        <w:gridCol w:w="143"/>
        <w:gridCol w:w="109"/>
        <w:gridCol w:w="109"/>
        <w:gridCol w:w="109"/>
        <w:gridCol w:w="211"/>
        <w:gridCol w:w="683"/>
        <w:gridCol w:w="109"/>
        <w:gridCol w:w="109"/>
        <w:gridCol w:w="109"/>
        <w:gridCol w:w="109"/>
        <w:gridCol w:w="211"/>
        <w:gridCol w:w="826"/>
        <w:gridCol w:w="156"/>
      </w:tblGrid>
      <w:tr>
        <w:trPr/>
        <w:tc>
          <w:tcPr>
            <w:tcW w:w="181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5209"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r>
      <w:tr>
        <w:trPr/>
        <w:tc>
          <w:tcPr>
            <w:tcW w:w="4996"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Amortized</w:t>
            </w:r>
          </w:p>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Estimated</w:t>
            </w:r>
          </w:p>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996"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 ($84,502 included in 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investments (included in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49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short-term</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long-term</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396,707 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11"/>
        <w:gridCol w:w="1595"/>
        <w:gridCol w:w="1599"/>
        <w:gridCol w:w="211"/>
        <w:gridCol w:w="826"/>
        <w:gridCol w:w="109"/>
        <w:gridCol w:w="109"/>
        <w:gridCol w:w="109"/>
        <w:gridCol w:w="109"/>
        <w:gridCol w:w="274"/>
        <w:gridCol w:w="469"/>
        <w:gridCol w:w="143"/>
        <w:gridCol w:w="109"/>
        <w:gridCol w:w="109"/>
        <w:gridCol w:w="109"/>
        <w:gridCol w:w="211"/>
        <w:gridCol w:w="674"/>
        <w:gridCol w:w="109"/>
        <w:gridCol w:w="109"/>
        <w:gridCol w:w="109"/>
        <w:gridCol w:w="109"/>
        <w:gridCol w:w="211"/>
        <w:gridCol w:w="826"/>
        <w:gridCol w:w="156"/>
      </w:tblGrid>
      <w:tr>
        <w:trPr/>
        <w:tc>
          <w:tcPr>
            <w:tcW w:w="181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5200"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5005"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Amortized</w:t>
            </w:r>
          </w:p>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Unrealized</w:t>
            </w:r>
          </w:p>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Estimated</w:t>
            </w:r>
          </w:p>
          <w:p>
            <w:pPr>
              <w:pStyle w:val="TableContents"/>
              <w:bidi w:val="0"/>
              <w:spacing w:lineRule="auto" w:line="252"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($26,669 included in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 ($3,976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investments (included in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short-term</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long-term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317,036 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changes in the fair value of our Level 3 financial liability (in thousands):</w:t>
      </w:r>
    </w:p>
    <w:tbl>
      <w:tblPr>
        <w:tblW w:w="4784" w:type="dxa"/>
        <w:jc w:val="left"/>
        <w:tblInd w:w="0" w:type="dxa"/>
        <w:tblLayout w:type="fixed"/>
        <w:tblCellMar>
          <w:top w:w="28" w:type="dxa"/>
          <w:left w:w="28" w:type="dxa"/>
          <w:bottom w:w="28" w:type="dxa"/>
          <w:right w:w="28" w:type="dxa"/>
        </w:tblCellMar>
      </w:tblPr>
      <w:tblGrid>
        <w:gridCol w:w="956"/>
        <w:gridCol w:w="839"/>
        <w:gridCol w:w="845"/>
        <w:gridCol w:w="461"/>
        <w:gridCol w:w="1347"/>
        <w:gridCol w:w="336"/>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2144"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r>
              <w:rPr>
                <w:rFonts w:ascii="Times New Roman;sans-serif" w:hAnsi="Times New Roman;sans-serif"/>
                <w:b/>
                <w:color w:val="000000"/>
                <w:sz w:val="16"/>
              </w:rPr>
              <w:t>MSKCC Success Payments</w:t>
              <w:br/>
              <w:t>Liability</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liability for the MSKCC success payments is carried at fair value and changes are recognized as expense or income as part of other income (expense) until the success payments liability is paid or expires. We recorded a $0.1 million and $1.6 million change in the fair value of the MSKCC success payments liability as a loss in other income (expense) in our condensed consolidated statements of operations for the three months ended September 30, 2023, and 2022, respectively. We recorded $0.4 million and $1.0 million change in fair value of the MSKCC success payments liability as a gain in other income (expense) in our condensed consolidated statements of operations for the nine months ended September 30, 2023, and 2022, respectively.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utilized a Monte Carlo simulation model that models the future movement of stock prices based on several key variables. This model requires significant estimates and assumptions in determining the estimated fair value of the MSKCC success payments liability at each balance sheet date. The assumptions used to calculate the fair value of the MSKCC success payments liability are subject to a significant amount of judgment including the expected volatility that was estimated using available information about the historical volatility of stocks of publicly traded companies that are similar to us, the estimated term, and the estimated number and timing of valuation measurement dates. The table below summarizes key assumptions used in the valuation of MSKCC success payments liability:</w:t>
      </w:r>
    </w:p>
    <w:tbl>
      <w:tblPr>
        <w:tblW w:w="6307" w:type="dxa"/>
        <w:jc w:val="left"/>
        <w:tblInd w:w="0" w:type="dxa"/>
        <w:tblLayout w:type="fixed"/>
        <w:tblCellMar>
          <w:top w:w="28" w:type="dxa"/>
          <w:left w:w="28" w:type="dxa"/>
          <w:bottom w:w="28" w:type="dxa"/>
          <w:right w:w="28" w:type="dxa"/>
        </w:tblCellMar>
      </w:tblPr>
      <w:tblGrid>
        <w:gridCol w:w="1700"/>
        <w:gridCol w:w="1494"/>
        <w:gridCol w:w="1500"/>
        <w:gridCol w:w="109"/>
        <w:gridCol w:w="109"/>
        <w:gridCol w:w="335"/>
        <w:gridCol w:w="815"/>
        <w:gridCol w:w="245"/>
      </w:tblGrid>
      <w:tr>
        <w:trPr/>
        <w:tc>
          <w:tcPr>
            <w:tcW w:w="170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w:t>
              <w:br/>
              <w:t>2022</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right"/>
              <w:rPr>
                <w:color w:val="000000"/>
              </w:rPr>
            </w:pPr>
            <w:r>
              <w:rPr>
                <w:color w:val="000000"/>
              </w:rPr>
              <w:t> </w:t>
            </w:r>
            <w:r>
              <w:rPr>
                <w:rFonts w:ascii="Times New Roman;sans-serif" w:hAnsi="Times New Roman;sans-serif"/>
                <w:b w:val="false"/>
                <w:color w:val="000000"/>
                <w:sz w:val="20"/>
              </w:rPr>
              <w:t>3.88%</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right"/>
              <w:rPr>
                <w:color w:val="000000"/>
              </w:rPr>
            </w:pPr>
            <w:r>
              <w:rPr>
                <w:color w:val="000000"/>
              </w:rPr>
              <w:t> </w:t>
            </w:r>
            <w:r>
              <w:rPr>
                <w:rFonts w:ascii="Times New Roman;sans-serif" w:hAnsi="Times New Roman;sans-serif"/>
                <w:b w:val="false"/>
                <w:color w:val="000000"/>
                <w:sz w:val="20"/>
              </w:rPr>
              <w:t>79%</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pPr>
            <w:r>
              <w:rPr>
                <w:rFonts w:ascii="Times New Roman;sans-serif" w:hAnsi="Times New Roman;sans-serif"/>
                <w:b w:val="false"/>
                <w:color w:val="000000"/>
                <w:sz w:val="20"/>
              </w:rPr>
              <w:t>Probability of achieving multiple of Initial Share Price</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3.0% to 10.6% </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4.6 to 6.0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MSKCC is entitled to certain success payments if our common stock fair value increases by certain multiples of value based on a comparison of the fair market value of our common stock to $5.1914 per share, adjusted for any future stock splits (the “Initial Share Price”), during a specified time period. For further information regarding our agreement with MSKCC, see Note 4 to the consolidated financial statements included in our Form 10-K.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expected volatility was estimated using a combination of available information about the historical volatility of stocks of similar publicly traded companies for a period matching the expected term assumption and the historical and implied volatility of our stock. The risk-free interest rate, expected volatility, and expected term assumptions depend on the estimated initiation of our AMpLify phase 1 clinical trial for our CB-012 product candidate utilizing the know-how, biological materials, and intellectual property licensed under the Exclusive License Agreement, dated November 13, 2020, with MSKCC (the “MSKCC Agreement”) and the estimated timing of marketing approval for this product candidate from the U.S. Food and Drug Administration (“FDA”). In addition, we incorporated the estimated number and timing of valuation measurement dates in the calculation of the MSKCC success payments liability.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did not note any significant changes to the inputs used in the MSKCC success payments liability fair value calculation, other than a change in the fair value of our common stock to $4.78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Significant Agreements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December 31, 2022, there have been no material changes to the key terms of our significant agreements other than the termination notice we received from AbbVie Manufacturing Management Unlimited Company (“AbbVie”) for the Collaboration and License Agreement (as amended, the “AbbVie Agreement”) under which we were developing two allogeneic CAR-T cell therapies for AbbVie. For further information regarding our significant agreements, including the AbbVie Agreement, see Note 4 to the consolidated financial statements included in our Form 10-K. See Note 7 to our unaudited condensed consolidated financial statements included elsewhere in this Form 10-Q for additional information on our agreements with Pfizer, Inc. (“Pfizer”), which we entered into on June 29,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AbbVie Agreement, we received an upfront cash payment of $30.0 million from AbbVie during the year ended December 31, 2021. On September 26, 2023, we received notice from AbbVie that AbbVie elected to terminate the AbbVie Agreement. By mutual agreement with AbbVie, termination of the AbbVie Agreement became effective on October 25, 2023. Due to receipt of the termination notice, we stopped performing preclinical research and development services under the AbbVie Agreement and determined that our performance obligation to AbbVie was substantially completed as of September 30, 2023. Consequently, the remaining $20.8 million of deferred revenue from the upfront cash payment was recognized during the three months ended September 30,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we recognized $21.5 million in licensing and collaboration revenue associated with the AbbVie Agreement, of which $20.8 million had been included in deferred revenue as of the beginning of the period. During the nine months ended September 30, 2023, we recognized $24.5 million in licensing and collaboration revenue associated with the AbbVie Agreement. For the three and nine months ended September 30, 2022, we recognized $1.7 million and $5.5 million in revenue associated with the AbbVie Agreement, respectively. As of September 30, 2023, we had recorded $1.0 million in accounts receivable and, as of December 31, 2022, we had recorded no amounts in accounts receivable in our condensed consolidated balance sheets relating to the AbbVie Agreement. As of September 30, 2023, and December 31, 2022, we had $0.7 million and $0.9 million, respectively, in contract assets in our condensed consolidated balance sheet and consolidated balance sheet, respectively, relating to the AbbVie Agreement.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agreements with third parties to in-license intellectual property and related materials and know-how. These agreements may include nonrefundable, upfront payments; annual license maintenance fees; sublicensing fees; obligations to reimburse for patent prosecution and maintenance fees; success payments; regulatory clinical and commercial milestones; and royalty payments. Our obligation to make such payments is contingent upon milestones being achieved, licensed products being commercialized, and the agreements remaining in effect.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and 2022, we recorded $0.4 million and $0.3 million, respectively, as research and development expense in our condensed consolidated statements of operations related to our license agreements. For the nine months ended September 30, 2023, and 2022, we recorded $1.2 million and $0.8 million, respectively, as research and development expense in our condensed consolidated statements of operations related to our license agreements. For the three months ended September 30, 2023, and 2022, we recorded $0.4 million and $1.4 million, respectively, as general and administrative expense for patent prosecution and maintenance costs in our condensed consolidated statements of operations, which includes reimbursements of patent prosecution and maintenance costs of $0.1 million and $0.9 million, respectively. For the nine months ended September 30, 2023, and 2022, we recorded $2.2 million and $4.7 million, respectively, as general and administrative expense for patent prosecution and maintenance costs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which includes reimbursements of patent prosecution and maintenance costs of $1.3 million and $3.1 million, respectively.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certain license and assignment agreements included potential future payments from us for development, regulatory, and sales milestones totaling approximately $161.2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5. Revenue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disaggregate revenue by geographical market based on the location of research and development activities of our licensees and collaborators. The following table is a summary of revenue by geographic location for the three and nine months ended September 30, 2023, and 2022 (in thousands):</w:t>
      </w:r>
    </w:p>
    <w:tbl>
      <w:tblPr>
        <w:tblW w:w="6846" w:type="dxa"/>
        <w:jc w:val="left"/>
        <w:tblInd w:w="0" w:type="dxa"/>
        <w:tblLayout w:type="fixed"/>
        <w:tblCellMar>
          <w:top w:w="28" w:type="dxa"/>
          <w:left w:w="28" w:type="dxa"/>
          <w:bottom w:w="28" w:type="dxa"/>
          <w:right w:w="28" w:type="dxa"/>
        </w:tblCellMar>
      </w:tblPr>
      <w:tblGrid>
        <w:gridCol w:w="435"/>
        <w:gridCol w:w="381"/>
        <w:gridCol w:w="383"/>
        <w:gridCol w:w="245"/>
        <w:gridCol w:w="840"/>
        <w:gridCol w:w="127"/>
        <w:gridCol w:w="127"/>
        <w:gridCol w:w="127"/>
        <w:gridCol w:w="127"/>
        <w:gridCol w:w="245"/>
        <w:gridCol w:w="718"/>
        <w:gridCol w:w="127"/>
        <w:gridCol w:w="109"/>
        <w:gridCol w:w="109"/>
        <w:gridCol w:w="109"/>
        <w:gridCol w:w="227"/>
        <w:gridCol w:w="775"/>
        <w:gridCol w:w="117"/>
        <w:gridCol w:w="117"/>
        <w:gridCol w:w="117"/>
        <w:gridCol w:w="117"/>
        <w:gridCol w:w="227"/>
        <w:gridCol w:w="775"/>
        <w:gridCol w:w="165"/>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19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we recognized $1.6 million of revenue related to performance obligations satisfied at a point in time, and we recognized $22.1 million of revenue related to performance obligations satisfied over time that included $21.5 million in licensing and collaboration revenue associated with the AbbVie Agreement, of which $20.8 million had been included in deferred revenue as of the beginning of the period.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2022, we recognized $1.6 million of revenue related to performance obligations satisfied at a point in time, and we recognized $1.7 million of revenue related to performance obligations satisfied over time.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we recognized $5.8 million of revenue related to performance obligations satisfied at a point in time, and we recognized $25.1 million of revenue related to performance obligations satisfied over time which included $24.5 million in licensing and collaboration revenue associated with the AbbVie Agreement.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2022, we recognized $4.7 million of revenue related to performance obligations satisfied at a point in time, and we recognized $5.5 million of revenue related to performance obligations satisfied over time.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relate to our right to consideration for performance obligations completed (or partially completed) for which we have an unconditional right to consideration. Our accounts receivable balances represent amounts that we billed to our licensees with invoices outstanding as of the end of a reporting period.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are rights to consideration in exchange for a license that we have granted to a licensee when the right is conditional on something other than the passage of time. Our contract asset balances represent reimbursable research costs related to the AbbVie Agreement, as well as royalties and milestone payments from our other license agreements that are unbilled as of the end of a reporting period.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 and relate to amounts invoiced to, or advance consideration received from, licensees that precede our satisfaction of the associated performance obligations. Our deferred revenue primarily results from the upfront payment received relating to our performance obligation to Pfizer. The remaining deferred revenue relates to upfront payments received under license agreements that also include nonrefundable annual license fees, which are accounted for as material rights for license renewals and are recognized at the point in time annual license fees are paid by the licensees and the renewal periods begin.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changes in our contract assets and liabilities during the nine months ended September 30, 2023 (in thousands): </w:t>
      </w:r>
    </w:p>
    <w:tbl>
      <w:tblPr>
        <w:tblW w:w="8762" w:type="dxa"/>
        <w:jc w:val="left"/>
        <w:tblInd w:w="0" w:type="dxa"/>
        <w:tblLayout w:type="fixed"/>
        <w:tblCellMar>
          <w:top w:w="28" w:type="dxa"/>
          <w:left w:w="28" w:type="dxa"/>
          <w:bottom w:w="28" w:type="dxa"/>
          <w:right w:w="28" w:type="dxa"/>
        </w:tblCellMar>
      </w:tblPr>
      <w:tblGrid>
        <w:gridCol w:w="1212"/>
        <w:gridCol w:w="1064"/>
        <w:gridCol w:w="1068"/>
        <w:gridCol w:w="222"/>
        <w:gridCol w:w="759"/>
        <w:gridCol w:w="114"/>
        <w:gridCol w:w="109"/>
        <w:gridCol w:w="109"/>
        <w:gridCol w:w="109"/>
        <w:gridCol w:w="211"/>
        <w:gridCol w:w="721"/>
        <w:gridCol w:w="109"/>
        <w:gridCol w:w="109"/>
        <w:gridCol w:w="109"/>
        <w:gridCol w:w="109"/>
        <w:gridCol w:w="211"/>
        <w:gridCol w:w="796"/>
        <w:gridCol w:w="109"/>
        <w:gridCol w:w="109"/>
        <w:gridCol w:w="109"/>
        <w:gridCol w:w="109"/>
        <w:gridCol w:w="255"/>
        <w:gridCol w:w="744"/>
        <w:gridCol w:w="186"/>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w:t>
              <w:b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ans-serif" w:hAnsi="Times New Roman;sans-serif"/>
                <w:b/>
                <w:color w:val="000000"/>
                <w:sz w:val="16"/>
              </w:rPr>
              <w:t>Deductions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as of</w:t>
              <w:br/>
              <w:t>September 30,</w:t>
              <w:br/>
              <w:t>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 and long-term</w:t>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25,891 </w:t>
            </w:r>
          </w:p>
        </w:tc>
        <w:tc>
          <w:tcPr>
            <w:tcW w:w="1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9,554 </w:t>
            </w:r>
          </w:p>
        </w:tc>
        <w:tc>
          <w:tcPr>
            <w:tcW w:w="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decreased $0.6 million during the nine months ended September 30, 2023, primarily due to the decrease in unbilled research costs under the AbbVie Agreement.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decreased during the nine months ended September 30, 2023, primarily due to the recognition of deferred revenues related to the completion of our performance obligation to AbbVie as a result of AbbVie’s termination of the AbbVie Agreement, offset by the $7.5 million allocated to the Pfizer information sharing committee, during the nine months ended September 30, 2023. See Notes 4 and 7 to our unaudited condensed consolidated financial statements included elsewhere in this Form 10-Q for additional information.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2022, we recognized $23.2 million and $3.4 million of revenue, respectively, which was included in the opening contract liabilities balances at the beginning of the respective periods.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Transaction Prices Allocated to Remaining Performance Obligations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in aggregate the amount of a transaction price that has been allocated to performance obligations not delivered as of the end of a reporting period. The value of transaction prices allocated to remaining unsatisfied performance obligations as of September 30, 2023, was approximately $9.6 million. We expect to recognize approximately $2.8 million of remaining performance obligations as revenue in the next 12 months and to recognize the remainder thereafter.</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Capitalized Contract Acquisition Costs and Fulfillment Costs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incur any expenses to obtain license and collaboration agreements, and costs to fulfill those contracts do not generate or enhance our resources. As such, no costs to obtain or fulfill a contract have been capitalized in any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6. Balance Sheet Items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 consisted of the following (in thousands):</w:t>
      </w:r>
    </w:p>
    <w:tbl>
      <w:tblPr>
        <w:tblW w:w="6055" w:type="dxa"/>
        <w:jc w:val="left"/>
        <w:tblInd w:w="0" w:type="dxa"/>
        <w:tblLayout w:type="fixed"/>
        <w:tblCellMar>
          <w:top w:w="28" w:type="dxa"/>
          <w:left w:w="28" w:type="dxa"/>
          <w:bottom w:w="28" w:type="dxa"/>
          <w:right w:w="28" w:type="dxa"/>
        </w:tblCellMar>
      </w:tblPr>
      <w:tblGrid>
        <w:gridCol w:w="1251"/>
        <w:gridCol w:w="1096"/>
        <w:gridCol w:w="1102"/>
        <w:gridCol w:w="257"/>
        <w:gridCol w:w="750"/>
        <w:gridCol w:w="132"/>
        <w:gridCol w:w="109"/>
        <w:gridCol w:w="109"/>
        <w:gridCol w:w="109"/>
        <w:gridCol w:w="245"/>
        <w:gridCol w:w="716"/>
        <w:gridCol w:w="179"/>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 cost reimbursements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6731" w:type="dxa"/>
        <w:jc w:val="left"/>
        <w:tblInd w:w="0" w:type="dxa"/>
        <w:tblLayout w:type="fixed"/>
        <w:tblCellMar>
          <w:top w:w="28" w:type="dxa"/>
          <w:left w:w="28" w:type="dxa"/>
          <w:bottom w:w="28" w:type="dxa"/>
          <w:right w:w="28" w:type="dxa"/>
        </w:tblCellMar>
      </w:tblPr>
      <w:tblGrid>
        <w:gridCol w:w="1494"/>
        <w:gridCol w:w="1314"/>
        <w:gridCol w:w="1317"/>
        <w:gridCol w:w="257"/>
        <w:gridCol w:w="750"/>
        <w:gridCol w:w="132"/>
        <w:gridCol w:w="109"/>
        <w:gridCol w:w="109"/>
        <w:gridCol w:w="109"/>
        <w:gridCol w:w="245"/>
        <w:gridCol w:w="716"/>
        <w:gridCol w:w="179"/>
      </w:tblGrid>
      <w:tr>
        <w:trPr/>
        <w:tc>
          <w:tcPr>
            <w:tcW w:w="149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contract manufacturing and clinical costs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6716" w:type="dxa"/>
        <w:jc w:val="left"/>
        <w:tblInd w:w="0" w:type="dxa"/>
        <w:tblLayout w:type="fixed"/>
        <w:tblCellMar>
          <w:top w:w="28" w:type="dxa"/>
          <w:left w:w="28" w:type="dxa"/>
          <w:bottom w:w="28" w:type="dxa"/>
          <w:right w:w="28" w:type="dxa"/>
        </w:tblCellMar>
      </w:tblPr>
      <w:tblGrid>
        <w:gridCol w:w="1489"/>
        <w:gridCol w:w="1306"/>
        <w:gridCol w:w="1315"/>
        <w:gridCol w:w="231"/>
        <w:gridCol w:w="790"/>
        <w:gridCol w:w="119"/>
        <w:gridCol w:w="109"/>
        <w:gridCol w:w="109"/>
        <w:gridCol w:w="109"/>
        <w:gridCol w:w="221"/>
        <w:gridCol w:w="757"/>
        <w:gridCol w:w="161"/>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related to property and equipment were $1.6 million and $0.4 million, respectively, for the three months ended September 30, 2023, and 2022. Depreciation and amortization expenses related to property and equipment were $2.8 million and $1.1 million, respectively, for the nine months ended September 30, 2023, and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 (in thousands):</w:t>
      </w:r>
    </w:p>
    <w:tbl>
      <w:tblPr>
        <w:tblW w:w="7150" w:type="dxa"/>
        <w:jc w:val="left"/>
        <w:tblInd w:w="0" w:type="dxa"/>
        <w:tblLayout w:type="fixed"/>
        <w:tblCellMar>
          <w:top w:w="28" w:type="dxa"/>
          <w:left w:w="28" w:type="dxa"/>
          <w:bottom w:w="28" w:type="dxa"/>
          <w:right w:w="28" w:type="dxa"/>
        </w:tblCellMar>
      </w:tblPr>
      <w:tblGrid>
        <w:gridCol w:w="1647"/>
        <w:gridCol w:w="1445"/>
        <w:gridCol w:w="1452"/>
        <w:gridCol w:w="231"/>
        <w:gridCol w:w="790"/>
        <w:gridCol w:w="119"/>
        <w:gridCol w:w="109"/>
        <w:gridCol w:w="109"/>
        <w:gridCol w:w="109"/>
        <w:gridCol w:w="221"/>
        <w:gridCol w:w="757"/>
        <w:gridCol w:w="161"/>
      </w:tblGrid>
      <w:tr>
        <w:trPr/>
        <w:tc>
          <w:tcPr>
            <w:tcW w:w="164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 and related expenses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 expenses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patent expenses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related to sublicensing revenues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card liability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7. Related Party Transactions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Edge Animal Health</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15, 2020, we entered into an Exclusive License Agreement for Veterinary Therapeutics (as amended, the “Edge chRDNA License Agreement”) with Edge Animal Health (“Edge”), a private company, related party, under which we granted Edge an exclusive worldwide license to Cas9 and Cas12a chRDNA intellectual property rights and know-how in the defined field of veterinary therapeutics. As consideration for this exclusive license, Edge issued to us 7,500,000 shares of convertible preferred stock with an estimated fair value of $7.5 million, which was the price paid for similar shares by another investor, and which was an arm’s length transaction. This represents a material voting interest in Edge and entitles us to hold one of the four board of director seats and to jointly vote with another stockholder on a second board of director seat. As of September 30, 2023, we had appointed one of the four Edge directors. We concluded that Edge is a variable interest entity and that we are not its primary beneficiary based on our representation on its board of directors. As Edge’s convertible preferred stock is not in substance common stock, we recorded this investment using the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alternative in accordance with ASC 321, Investments–Equity Securities. Under the measurement alternative, our investment in Edge’s convertible preferred stock was initially recorded at its estimated fair value, and the carrying value may be adjusted through earnings upon an impairment or when there is an observable price change involving the same or a similar investment with Edge. As of each of September 30, 2023, and December 31, 2022, the carrying value of the Edge investment was $7.5 million. There have been no changes to the carrying value of the investment during the three months ended September 30, 2023.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16, 2023, we entered into an Exclusive License Agreement for Veterinary Therapeutics (CRISPR-Cas9) (the “Edge Cas9 License Agreement”), under which we granted Edge an exclusive worldwide license to certain CRISPR-Cas9 intellectual property rights in the field of veterinary therapeutics. Previously, on May 15, 2020, we had entered into an Option for an Exclusive License under which Edge could exercise its option within three years upon payment of a total of $1.2 million, which Edge paid, and we entered into the Edge Cas9 License Agreement. We did not recognize any revenue in connection with the Edge Cas9 License Agreement during the three months ended September 30, 2023. We recognized $1.2 million of revenue in connection with the Edge Cas9 License Agreement during the nine months ended September 30, 2023. We did not recognize any revenue in connection with the Edge Cas9 License Agreement in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Pfizer Investment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29, 2023, we entered into a Securities Purchase Agreement (the “Securities Purchase Agreement”) with Pfizer, pursuant to which we, in a private placement transaction (the “Pfizer Investment”), agreed to issue and sell to Pfizer 4,690,431 shares of our common stock, par value $0.0001 per share, at a purchase price of $5.33 per share, for aggregate gross proceeds of approximately $25.0 million. The issuance and sale of the shares to Pfizer closed on June 30, 2023. We granted certain registration rights to Pfizer under the Securities Purchase Agreement covering the resale of the shares. Unless otherwise agreed by Pfizer, we have agreed to use the proceeds from the Pfizer Investment solely in connection with (i) the development program for our allogeneic anti-BCMA CAR-T cell therapy known as CB-011 that is being evaluated in the CaMMouflage clinical trial and/or (ii) any other single-targeted anti-BCMA CAR-T cell therapy using an anti-BCMA single-chain variable fragment owned or controlled by us (collectively, cell therapies described in clauses (i) and (ii) are referred to as a “BCMA Product Candidate”), for 36 months beginning on June 29,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2023, in connection with the Pfizer Investment, we and Pfizer also entered into an Information Rights Agreement (the “Information Rights Agreement”), having a thirty-six (36)-month term. Under the Information Rights Agreement, we granted Pfizer a thirty (30)-calendar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then we may pursue negotiations and enter into an agreement with any third party. If we and such third party do not reach agreement on the Grant of Program Rights within a specified time period, Pfizer’s right of first negotiation would be reinstated. Under the Information Rights Agreement, we also agreed to grant Pfizer the right to designate one representative to serve on our scientific advisory board. Through an information sharing committee, we will provide calendar quarter updates to Pfizer regarding the development program for a BCMA Product Candidate. Additionally, we agreed to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29, 2023, we and Pfizer also entered into a Voting Agreement, pursuant to which, for a period of 12 months, Pfizer agreed to cause our voting securities that Pfizer beneficially owns (within the meaning of Rules 13d-3 or 13d-5 under the Exchange Act) in excess of 4.99% of our then issued and outstanding voting securities to be voted (i) with respect to any matter directly relating to remuneration of directors, directors’ insurance, or indemnification or release from liability of directors, in a manner proportionally consistent with the votes properly cast for and against by holders of voting securities not beneficially owned by Pfizer, and (ii) with respect to any other matter in which Pfizer shall have the right to vote such voting securities, in accordance with the recommendation of our board of directors or any applicable committee thereof.</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We recorded the issuance of our common stock at its estimated fair value of </w:t>
      </w:r>
      <w:r>
        <w:rPr>
          <w:rFonts w:ascii="Times New Roman;sans-serif" w:hAnsi="Times New Roman;sans-serif"/>
          <w:b w:val="false"/>
          <w:color w:val="000000"/>
          <w:sz w:val="20"/>
          <w:shd w:fill="FFFFFF" w:val="clear"/>
        </w:rPr>
        <w:t>$17.5 million</w:t>
      </w:r>
      <w:r>
        <w:rPr>
          <w:rFonts w:ascii="Times New Roman;sans-serif" w:hAnsi="Times New Roman;sans-serif"/>
          <w:b w:val="false"/>
          <w:color w:val="000000"/>
          <w:sz w:val="20"/>
        </w:rPr>
        <w:t xml:space="preserve">, which reflects a discount for the lack of marketability of the shares. The remaining </w:t>
      </w:r>
      <w:r>
        <w:rPr>
          <w:rFonts w:ascii="Times New Roman;sans-serif" w:hAnsi="Times New Roman;sans-serif"/>
          <w:b w:val="false"/>
          <w:color w:val="000000"/>
          <w:sz w:val="20"/>
          <w:shd w:fill="FFFFFF" w:val="clear"/>
        </w:rPr>
        <w:t xml:space="preserve">$7.5 million </w:t>
      </w:r>
      <w:r>
        <w:rPr>
          <w:rFonts w:ascii="Times New Roman;sans-serif" w:hAnsi="Times New Roman;sans-serif"/>
          <w:b w:val="false"/>
          <w:color w:val="000000"/>
          <w:sz w:val="20"/>
        </w:rPr>
        <w:t>of the aggregate purchase price was allocated to the Information Rights Agreement, which represented a contract with a customer. We concluded that the information sharing committee represents the only performance obligation under the Information Rights Agreement. The ROFN does not provide Pfizer with a material right and is therefore not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over time as the measure of progress which we believe best depicts the obligations to Pfizer. The information sharing committee will meet quarterly over the 36-month term of the Information Rights Agreement, which results in recognition of the transaction price over the 36-month term.</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During each of the three- and nine-month periods ended September 30, 2023, we recognized $0.6 million of revenue from Pfizer. As of September 30, 2023, there was approximately $6.9 million</w:t>
      </w:r>
      <w:r>
        <w:rPr>
          <w:color w:val="000000"/>
          <w:shd w:fill="FFFFFF" w:val="clear"/>
        </w:rPr>
        <w:t xml:space="preserve"> </w:t>
      </w:r>
      <w:r>
        <w:rPr>
          <w:rFonts w:ascii="Times New Roman;sans-serif" w:hAnsi="Times New Roman;sans-serif"/>
          <w:b w:val="false"/>
          <w:color w:val="000000"/>
          <w:sz w:val="20"/>
        </w:rPr>
        <w:t>of related party deferred revenue ($2.5 million included in current liabilities and $4.4 million included in long-term liabilities) related to our performance obligation to Pfizer.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 Obligations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operating leases for our laboratory and office space in Berkeley, California, consisting of approximately 75,000 square feet, with remaining lease terms up to 8.8 years. Certain of our laboratory and office space lease agreements include options to extend the terms for a period of five years and also contain provisions for future rent increases. In addition to base rent, we pay our share of operating expenses and taxes.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which are included in our statements of operations, were as follows (in thousands):</w:t>
      </w:r>
    </w:p>
    <w:tbl>
      <w:tblPr>
        <w:tblW w:w="7566" w:type="dxa"/>
        <w:jc w:val="left"/>
        <w:tblInd w:w="0" w:type="dxa"/>
        <w:tblLayout w:type="fixed"/>
        <w:tblCellMar>
          <w:top w:w="28" w:type="dxa"/>
          <w:left w:w="28" w:type="dxa"/>
          <w:bottom w:w="28" w:type="dxa"/>
          <w:right w:w="28" w:type="dxa"/>
        </w:tblCellMar>
      </w:tblPr>
      <w:tblGrid>
        <w:gridCol w:w="695"/>
        <w:gridCol w:w="610"/>
        <w:gridCol w:w="614"/>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pPr>
            <w:r>
              <w:rPr>
                <w:rFonts w:ascii="Times New Roman;sans-serif" w:hAnsi="Times New Roman;sans-serif"/>
                <w:b w:val="false"/>
                <w:color w:val="000000"/>
                <w:sz w:val="20"/>
              </w:rPr>
              <w:t>Operating lease cost</w:t>
            </w:r>
            <w:r>
              <w:rPr>
                <w:rFonts w:ascii="Times New Roman;sans-serif" w:hAnsi="Times New Roman;sans-serif"/>
                <w:b w:val="false"/>
                <w:color w:val="000000"/>
                <w:sz w:val="13"/>
              </w:rPr>
              <w:t>(1)</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Included $0.7 million and $0.6 million of variable lease cost related to operating expenses and taxes for the three months ended September 30, 2023, and 2022, respectively. Included $1.9 million and $1.6 million of variable lease cost related to operating expenses and taxes for the nine months ended September 30, 2023, and 2022, respectively.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our leases was as follows (in thousands):</w:t>
      </w:r>
    </w:p>
    <w:tbl>
      <w:tblPr>
        <w:tblW w:w="8501" w:type="dxa"/>
        <w:jc w:val="left"/>
        <w:tblInd w:w="0" w:type="dxa"/>
        <w:tblLayout w:type="fixed"/>
        <w:tblCellMar>
          <w:top w:w="28" w:type="dxa"/>
          <w:left w:w="28" w:type="dxa"/>
          <w:bottom w:w="28" w:type="dxa"/>
          <w:right w:w="28" w:type="dxa"/>
        </w:tblCellMar>
      </w:tblPr>
      <w:tblGrid>
        <w:gridCol w:w="2126"/>
        <w:gridCol w:w="1864"/>
        <w:gridCol w:w="1874"/>
        <w:gridCol w:w="248"/>
        <w:gridCol w:w="724"/>
        <w:gridCol w:w="128"/>
        <w:gridCol w:w="128"/>
        <w:gridCol w:w="128"/>
        <w:gridCol w:w="128"/>
        <w:gridCol w:w="248"/>
        <w:gridCol w:w="724"/>
        <w:gridCol w:w="181"/>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864"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6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48"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and the weighted-average discount rate for our laboratory and office leases were as follows:</w:t>
      </w:r>
    </w:p>
    <w:tbl>
      <w:tblPr>
        <w:tblW w:w="6573" w:type="dxa"/>
        <w:jc w:val="left"/>
        <w:tblInd w:w="0" w:type="dxa"/>
        <w:tblLayout w:type="fixed"/>
        <w:tblCellMar>
          <w:top w:w="28" w:type="dxa"/>
          <w:left w:w="28" w:type="dxa"/>
          <w:bottom w:w="28" w:type="dxa"/>
          <w:right w:w="28" w:type="dxa"/>
        </w:tblCellMar>
      </w:tblPr>
      <w:tblGrid>
        <w:gridCol w:w="1419"/>
        <w:gridCol w:w="1246"/>
        <w:gridCol w:w="1250"/>
        <w:gridCol w:w="255"/>
        <w:gridCol w:w="256"/>
        <w:gridCol w:w="632"/>
        <w:gridCol w:w="109"/>
        <w:gridCol w:w="109"/>
        <w:gridCol w:w="109"/>
        <w:gridCol w:w="255"/>
        <w:gridCol w:w="256"/>
        <w:gridCol w:w="67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 maturity analysis of our operating lease liabilities showing the aggregate lease payments as of September 30, 2023 (in thousands):</w:t>
      </w:r>
    </w:p>
    <w:tbl>
      <w:tblPr>
        <w:tblW w:w="4250" w:type="dxa"/>
        <w:jc w:val="left"/>
        <w:tblInd w:w="0" w:type="dxa"/>
        <w:tblLayout w:type="fixed"/>
        <w:tblCellMar>
          <w:top w:w="28" w:type="dxa"/>
          <w:left w:w="28" w:type="dxa"/>
          <w:bottom w:w="28" w:type="dxa"/>
          <w:right w:w="28" w:type="dxa"/>
        </w:tblCellMar>
      </w:tblPr>
      <w:tblGrid>
        <w:gridCol w:w="1145"/>
        <w:gridCol w:w="1007"/>
        <w:gridCol w:w="1012"/>
        <w:gridCol w:w="211"/>
        <w:gridCol w:w="72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pPr>
            <w:r>
              <w:rPr>
                <w:rFonts w:ascii="Times New Roman;sans-serif" w:hAnsi="Times New Roman;sans-serif"/>
                <w:b w:val="false"/>
                <w:color w:val="000000"/>
                <w:sz w:val="20"/>
              </w:rPr>
              <w:t>Remainder of 2023</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pPr>
            <w:r>
              <w:rPr>
                <w:rFonts w:ascii="Times New Roman;sans-serif" w:hAnsi="Times New Roman;sans-serif"/>
                <w:b w:val="false"/>
                <w:color w:val="000000"/>
                <w:sz w:val="20"/>
              </w:rPr>
              <w:t>2024</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discounted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Reflects an offset of $0.4 million related to incentives expected to be received in 2023.</w:t>
      </w:r>
    </w:p>
    <w:p>
      <w:pPr>
        <w:pStyle w:val="TextBody"/>
        <w:bidi w:val="0"/>
        <w:spacing w:lineRule="auto" w:line="288" w:before="0" w:after="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Reflects an offset of $0.7 million related to incentives expected to be received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Agreements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various agreements in the ordinary course of business, such as those with suppliers, contract research organizations (“CROs”), contract manufacturing organizations (“CMOs”), clinical trial sites, and the like. These agreements provide for termination by either party in certain circumstances, generally with less than one-year notice and are, therefore, cancellable contracts and, if cancelled, are not anticipated to have a material effect on our condensed consolidated financial condition, results of operations, or cash flows.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enter into agreements that contain a variety of representations and warranties and provide for certain indemnifications by us. Our exposure under these agreements is unknown because claims may be made against us in the future. To date, we have not paid any claims or been required to defend any action related to our indemnification obligations. As of September 30, 2023, and December 31, 2022, we did not have any material indemnification claims that were probable or reasonably possible, and consequently, we have not recorded related liabilities.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litigation arising in the ordinary course of business. We record a liability for such litigation when it is probable that future losses will be incurred and if such losses can be reasonably estimated. Significant judgment by us is required to determine both probability and the estimated amount.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11, 2023, a putative class action lawsuit was filed in the U.S. District Court for the Northern District of California against our company and certain of our officers and current and former members of our board of directors, Bergman v. Caribou Biosciences, Inc., et al., Case Number 4:23-cv-01742-YGR (the “Bergman Case”). The Bergman complaint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of 1933, as amended (the “Securities Act”) and Sections 10(b) and 20(a) of the Securities Exchange Act of 1934, as amended (the “Exchange Act”). On September 18, 2023, plaintiffs filed an amended complaint adding the IPO underwriters as defendants and making substantially the same allegations as the original complaint.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March 22, 2023, a putative class action lawsuit was filed in Superior Court of the State of California for the County of Alameda against our company and certain of our officers and current and former members of our board of directors, Lowry v. Caribou Biosciences, Inc., et al., Case Number T23-1084 (the “Lowry Case”). The Lowry Case challenges disclosures regarding our company’s business, operations, and prospects, specifically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alleged durability of CB-010’s therapeutic effect and the product candidate’s clinical and commercial prospects, in alleged violation of Sections 11 and 15 of the Securities Act. The allegations and claims in the Lowry Case are substantially similar to the Securities Act claims asserted in the Bergman Case. On April 26, 2023, we filed a motion to stay the Lowry Case during the pendency of the parallel federal court litigation in the Bergman Case, and, on July 11, 2023, our motion to stay was denied. On September 11, 2023, plaintiff filed an amended complaint making substantially the same allegations as the original complaint.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lawsuits are without merit and intend to vigorously defend the claims asserted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 Common Stock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reserved for future issuance consisted of the following:</w:t>
      </w:r>
    </w:p>
    <w:tbl>
      <w:tblPr>
        <w:tblW w:w="9902" w:type="dxa"/>
        <w:jc w:val="left"/>
        <w:tblInd w:w="0" w:type="dxa"/>
        <w:tblLayout w:type="fixed"/>
        <w:tblCellMar>
          <w:top w:w="28" w:type="dxa"/>
          <w:left w:w="28" w:type="dxa"/>
          <w:bottom w:w="28" w:type="dxa"/>
          <w:right w:w="28" w:type="dxa"/>
        </w:tblCellMar>
      </w:tblPr>
      <w:tblGrid>
        <w:gridCol w:w="2266"/>
        <w:gridCol w:w="1992"/>
        <w:gridCol w:w="1997"/>
        <w:gridCol w:w="569"/>
        <w:gridCol w:w="514"/>
        <w:gridCol w:w="516"/>
        <w:gridCol w:w="109"/>
        <w:gridCol w:w="109"/>
        <w:gridCol w:w="109"/>
        <w:gridCol w:w="540"/>
        <w:gridCol w:w="541"/>
        <w:gridCol w:w="640"/>
      </w:tblGrid>
      <w:tr>
        <w:trPr/>
        <w:tc>
          <w:tcPr>
            <w:tcW w:w="2266"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 2022</w:t>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9,523,394 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6,733,074 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authorized for future issuance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5,894,280 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5,833,979 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available under our employee stock purchase plan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1,516,355 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1,044,518 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and performance-based restricted stock units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256,146 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17,102,467 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13,867,717 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Shelf Registration Statement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9, 2022, we filed a shelf registration statement on Form S-3 (“Shelf Registration Statement”) with the U.S. Securities and Exchange Commission (“SEC”). The Shelf Registration Statement allows us to sell from time to time up to $400.0 million of common stock, preferred stock, debt securities, warrants, rights, or units comprised of any combination of these securities, for our own account in one or more offerings (including the $100.0 million of common stock reserved for our at-the-market equity offering program described below). The SEC declared the Shelf Registration Statement effective on August 16, 2022. The terms of any offering under the Shelf Registration Statement will be established at the time of such offering and will be described in a prospectus supplement to the Shelf Registration Statement filed with the SEC prior to the completion of any such offering.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and August 2023, we issued and sold a total of 22,115,384 shares of our common stock in an underwritten follow-on public offering at a price to the public of $6.50 per share, which included the full exercise of the underwriters’ right to purchase 2,884,615 additional shares of our common stock. The total gross proceeds from the offering were approximately $143.7 million ($134.4 million net of underwriting discounts and commissions and offering expenses). The shares were issued pursuant to the Shelf Registration Statement.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At-the-market Equity Offering Program</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On August 9, 2022, we entered into an Open Market Sale Agreement</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(the “ATM Sales Agreement”) with Jefferies LLC (“Jefferies”) with respect to an at-the-market (“ATM”) equity offering program, pursuant to which, through Jefferies as sales agent, we may from time to time, sell shares of our common stock having an aggregate offering price of up to $100.0 million in gross proceeds under the Shelf Registration Statement. During the nine months ended September 30, 2023, we sold 168,635 shares of our common stock under the ATM Sales Agreement at an average price per share of $7.32 for aggregate gross proceeds of $1.2 million ($1.0 million net of offering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11. Stock-Based Compensation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2021, our board of directors adopted and our stockholders approved the 2021 Equity Incentive Plan (the “2021 Plan”) that became effective on July 22, 2021. As of September 30, 2023, we had 5,894,280 shares available for issuance under the 2021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under our equity incentive plans during the nine months ended September 30, 2023:</w:t>
      </w:r>
    </w:p>
    <w:tbl>
      <w:tblPr>
        <w:tblW w:w="10205" w:type="dxa"/>
        <w:jc w:val="left"/>
        <w:tblInd w:w="0" w:type="dxa"/>
        <w:tblLayout w:type="fixed"/>
        <w:tblCellMar>
          <w:top w:w="28" w:type="dxa"/>
          <w:left w:w="28" w:type="dxa"/>
          <w:bottom w:w="28" w:type="dxa"/>
          <w:right w:w="28" w:type="dxa"/>
        </w:tblCellMar>
      </w:tblPr>
      <w:tblGrid>
        <w:gridCol w:w="1374"/>
        <w:gridCol w:w="1206"/>
        <w:gridCol w:w="1213"/>
        <w:gridCol w:w="389"/>
        <w:gridCol w:w="378"/>
        <w:gridCol w:w="367"/>
        <w:gridCol w:w="109"/>
        <w:gridCol w:w="109"/>
        <w:gridCol w:w="109"/>
        <w:gridCol w:w="275"/>
        <w:gridCol w:w="667"/>
        <w:gridCol w:w="142"/>
        <w:gridCol w:w="109"/>
        <w:gridCol w:w="109"/>
        <w:gridCol w:w="109"/>
        <w:gridCol w:w="346"/>
        <w:gridCol w:w="346"/>
        <w:gridCol w:w="348"/>
        <w:gridCol w:w="109"/>
        <w:gridCol w:w="109"/>
        <w:gridCol w:w="109"/>
        <w:gridCol w:w="465"/>
        <w:gridCol w:w="1362"/>
        <w:gridCol w:w="346"/>
      </w:tblGrid>
      <w:tr>
        <w:trPr/>
        <w:tc>
          <w:tcPr>
            <w:tcW w:w="13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 (in thousands)*</w:t>
            </w:r>
          </w:p>
        </w:tc>
      </w:tr>
      <w:tr>
        <w:trPr/>
        <w:tc>
          <w:tcPr>
            <w:tcW w:w="3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37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 or forfeited</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2023</w:t>
            </w:r>
          </w:p>
        </w:tc>
        <w:tc>
          <w:tcPr>
            <w:tcW w:w="11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3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September 30, 2023</w:t>
            </w:r>
          </w:p>
        </w:tc>
        <w:tc>
          <w:tcPr>
            <w:tcW w:w="113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3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calculated as the difference between the stock option exercise price and the estimated fair value of the underlying common stock at the end of each reporting period referenced above.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Grant Date Fair Value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and 2022, we granted 384,095 and 372,600 stock options to employees with a weighted average grant date fair value of $3.64 and $6.43, respectively. During the nine months ended September 30, 2023, and 2022, we granted 3,406,801 and 1,206,750 stock options to employees with a weighted average grant date fair value of $3.91 and $5.84, respectively.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estimated the fair value of each employee and non-employee stock option award on the grant date using the Black-Scholes option-pricing model based on the following assumptions:</w:t>
      </w:r>
    </w:p>
    <w:tbl>
      <w:tblPr>
        <w:tblW w:w="9665" w:type="dxa"/>
        <w:jc w:val="left"/>
        <w:tblInd w:w="0" w:type="dxa"/>
        <w:tblLayout w:type="fixed"/>
        <w:tblCellMar>
          <w:top w:w="28" w:type="dxa"/>
          <w:left w:w="28" w:type="dxa"/>
          <w:bottom w:w="28" w:type="dxa"/>
          <w:right w:w="28" w:type="dxa"/>
        </w:tblCellMar>
      </w:tblPr>
      <w:tblGrid>
        <w:gridCol w:w="772"/>
        <w:gridCol w:w="676"/>
        <w:gridCol w:w="681"/>
        <w:gridCol w:w="470"/>
        <w:gridCol w:w="470"/>
        <w:gridCol w:w="470"/>
        <w:gridCol w:w="298"/>
        <w:gridCol w:w="298"/>
        <w:gridCol w:w="298"/>
        <w:gridCol w:w="400"/>
        <w:gridCol w:w="400"/>
        <w:gridCol w:w="400"/>
        <w:gridCol w:w="109"/>
        <w:gridCol w:w="109"/>
        <w:gridCol w:w="109"/>
        <w:gridCol w:w="470"/>
        <w:gridCol w:w="470"/>
        <w:gridCol w:w="470"/>
        <w:gridCol w:w="280"/>
        <w:gridCol w:w="280"/>
        <w:gridCol w:w="280"/>
        <w:gridCol w:w="426"/>
        <w:gridCol w:w="426"/>
        <w:gridCol w:w="603"/>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74.2% to 74.6%</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0"/>
              <w:jc w:val="center"/>
              <w:rPr>
                <w:color w:val="000000"/>
              </w:rPr>
            </w:pPr>
            <w:r>
              <w:rPr>
                <w:color w:val="000000"/>
              </w:rPr>
              <w:t>  </w:t>
            </w:r>
            <w:r>
              <w:rPr>
                <w:rFonts w:ascii="Times New Roman;sans-serif" w:hAnsi="Times New Roman;sans-serif"/>
                <w:b w:val="false"/>
                <w:color w:val="000000"/>
                <w:sz w:val="20"/>
              </w:rPr>
              <w:t>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74.2% to 75.0%</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71.7% to 74.2%</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 to 6.0</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 to 6.0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 to 4.6%</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 to 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to 4.6%</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 to 3.7%</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there was $29.7 million of unrecognized stock-based compensation expense related to employee and non-employee stock options that is expected to be recognized over a weighted-average period of 2.7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Restricted Stock Units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During the nine months ended September 30, 2023, we did not grant any restricted stock units (“RSUs”)</w:t>
      </w:r>
      <w:r>
        <w:rPr>
          <w:color w:val="000000"/>
        </w:rPr>
        <w:t xml:space="preserve"> </w:t>
      </w:r>
      <w:r>
        <w:rPr>
          <w:rFonts w:ascii="Times New Roman;sans-serif" w:hAnsi="Times New Roman;sans-serif"/>
          <w:b w:val="false"/>
          <w:color w:val="000000"/>
          <w:sz w:val="20"/>
        </w:rPr>
        <w:t>or performance-based RSUs (“PSUs”)</w:t>
      </w:r>
      <w:r>
        <w:rPr>
          <w:color w:val="000000"/>
        </w:rPr>
        <w:t xml:space="preserve"> </w:t>
      </w:r>
      <w:r>
        <w:rPr>
          <w:rFonts w:ascii="Times New Roman;sans-serif" w:hAnsi="Times New Roman;sans-serif"/>
          <w:b w:val="false"/>
          <w:color w:val="000000"/>
          <w:sz w:val="20"/>
        </w:rPr>
        <w:t>under the 2021 Plan. A summary of the status of and change in unvested RSUs and PSUs as of September 30, 2023 was as follows:</w:t>
      </w:r>
    </w:p>
    <w:tbl>
      <w:tblPr>
        <w:tblW w:w="10205" w:type="dxa"/>
        <w:jc w:val="left"/>
        <w:tblInd w:w="0" w:type="dxa"/>
        <w:tblLayout w:type="fixed"/>
        <w:tblCellMar>
          <w:top w:w="28" w:type="dxa"/>
          <w:left w:w="28" w:type="dxa"/>
          <w:bottom w:w="28" w:type="dxa"/>
          <w:right w:w="28" w:type="dxa"/>
        </w:tblCellMar>
      </w:tblPr>
      <w:tblGrid>
        <w:gridCol w:w="815"/>
        <w:gridCol w:w="716"/>
        <w:gridCol w:w="721"/>
        <w:gridCol w:w="1227"/>
        <w:gridCol w:w="1227"/>
        <w:gridCol w:w="1232"/>
        <w:gridCol w:w="109"/>
        <w:gridCol w:w="109"/>
        <w:gridCol w:w="109"/>
        <w:gridCol w:w="846"/>
        <w:gridCol w:w="2469"/>
        <w:gridCol w:w="625"/>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Underlying Outstanding RSUs and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RSU and PSU</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January 1, 2023</w:t>
            </w:r>
          </w:p>
        </w:tc>
        <w:tc>
          <w:tcPr>
            <w:tcW w:w="3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68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68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September 30, 2023</w:t>
            </w:r>
          </w:p>
        </w:tc>
        <w:tc>
          <w:tcPr>
            <w:tcW w:w="36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PSUs were granted to our executive officers and will vest contingent upon the achievement of a clinical milestone for CB-010 during a performance period ending December 31, 2024, and an executive officer’s continued employment during the performance period. As of September 30, 2023, the achievement of this milestone was not considered probable and, therefore, no stock-based compensation was recorded.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total unrecognized stock-based compensation expense related to unvested RSUs was $0.9 million, which is expected to be recognized over the remaining weighted-average vesting period of 1.5 years. As of September 30, 2023, there was approximately $0.6 million of unrecognized stock-based compensation expense related to unvested PSUs.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 (“ESPP”)</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2021, our board of directors adopted and our stockholders approved the ESPP, which became effective on July 22, 2021. We have issued 207,567 shares of common stock under the ESPP as of September 30, 2023. We recorded $0.2 million in accrued liabilities related to contributions withheld as of September 30,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stock-based compensation expense related to employee and non-employee equity-based awards grants in our condensed consolidated statements of operations as follows (in thousands):</w:t>
      </w:r>
    </w:p>
    <w:tbl>
      <w:tblPr>
        <w:tblW w:w="7956" w:type="dxa"/>
        <w:jc w:val="left"/>
        <w:tblInd w:w="0" w:type="dxa"/>
        <w:tblLayout w:type="fixed"/>
        <w:tblCellMar>
          <w:top w:w="28" w:type="dxa"/>
          <w:left w:w="28" w:type="dxa"/>
          <w:bottom w:w="28" w:type="dxa"/>
          <w:right w:w="28" w:type="dxa"/>
        </w:tblCellMar>
      </w:tblPr>
      <w:tblGrid>
        <w:gridCol w:w="837"/>
        <w:gridCol w:w="734"/>
        <w:gridCol w:w="738"/>
        <w:gridCol w:w="257"/>
        <w:gridCol w:w="752"/>
        <w:gridCol w:w="133"/>
        <w:gridCol w:w="133"/>
        <w:gridCol w:w="133"/>
        <w:gridCol w:w="133"/>
        <w:gridCol w:w="257"/>
        <w:gridCol w:w="752"/>
        <w:gridCol w:w="133"/>
        <w:gridCol w:w="109"/>
        <w:gridCol w:w="109"/>
        <w:gridCol w:w="109"/>
        <w:gridCol w:w="237"/>
        <w:gridCol w:w="810"/>
        <w:gridCol w:w="122"/>
        <w:gridCol w:w="122"/>
        <w:gridCol w:w="122"/>
        <w:gridCol w:w="122"/>
        <w:gridCol w:w="237"/>
        <w:gridCol w:w="692"/>
        <w:gridCol w:w="173"/>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stock-based compensation expense related to the following equity-based awards (in thousands): </w:t>
      </w:r>
    </w:p>
    <w:tbl>
      <w:tblPr>
        <w:tblW w:w="6892" w:type="dxa"/>
        <w:jc w:val="left"/>
        <w:tblInd w:w="0" w:type="dxa"/>
        <w:tblLayout w:type="fixed"/>
        <w:tblCellMar>
          <w:top w:w="28" w:type="dxa"/>
          <w:left w:w="28" w:type="dxa"/>
          <w:bottom w:w="28" w:type="dxa"/>
          <w:right w:w="28" w:type="dxa"/>
        </w:tblCellMar>
      </w:tblPr>
      <w:tblGrid>
        <w:gridCol w:w="450"/>
        <w:gridCol w:w="396"/>
        <w:gridCol w:w="399"/>
        <w:gridCol w:w="257"/>
        <w:gridCol w:w="752"/>
        <w:gridCol w:w="133"/>
        <w:gridCol w:w="133"/>
        <w:gridCol w:w="133"/>
        <w:gridCol w:w="133"/>
        <w:gridCol w:w="257"/>
        <w:gridCol w:w="752"/>
        <w:gridCol w:w="133"/>
        <w:gridCol w:w="109"/>
        <w:gridCol w:w="109"/>
        <w:gridCol w:w="109"/>
        <w:gridCol w:w="237"/>
        <w:gridCol w:w="810"/>
        <w:gridCol w:w="122"/>
        <w:gridCol w:w="122"/>
        <w:gridCol w:w="122"/>
        <w:gridCol w:w="122"/>
        <w:gridCol w:w="237"/>
        <w:gridCol w:w="692"/>
        <w:gridCol w:w="173"/>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stock-based compensation expense related to non-employees for the three months ended September 30, 2023, and was less than $0.1 million for the three months ended September 30, 2022. There was no stock-based compensation expense related to non-employees for the nine months ended September 30, 2023, and $0.1 million for the nine months ended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 401(k) Savings Plan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2017, we established a defined-contribution savings plan under Section 401(k) of the Internal Revenue Code of 1986, as amended (the “Tax Code”). Our 401(k) plan is available to all employees and allows participants to defer a portion of their annual compensation on a pretax basis subject to applicable laws. We also provide a 4% match for employee contributions up to a certain limit. During the three months ended September 30, 2023, and 2022, we contributed $0.3 million and $0.2 million, respectively, to our 401(k) plan. During the nine months ended September 30, 2023, and 2022, we contributed $0.8 million and $0.6 million, respectively, to our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income tax expense was recorded during each of the three- and nine-month periods ended September 30, 2023, and 2022 due to our operating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14. Net Loss Per Share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93"/>
        <w:gridCol w:w="1403"/>
        <w:gridCol w:w="1422"/>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5"/>
      </w:tblGrid>
      <w:tr>
        <w:trPr/>
        <w:tc>
          <w:tcPr>
            <w:tcW w:w="15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to compute net loss per share,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60,731,520 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were in a net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w:t>
      </w:r>
    </w:p>
    <w:tbl>
      <w:tblPr>
        <w:tblW w:w="5950" w:type="dxa"/>
        <w:jc w:val="left"/>
        <w:tblInd w:w="0" w:type="dxa"/>
        <w:tblLayout w:type="fixed"/>
        <w:tblCellMar>
          <w:top w:w="28" w:type="dxa"/>
          <w:left w:w="28" w:type="dxa"/>
          <w:bottom w:w="28" w:type="dxa"/>
          <w:right w:w="28" w:type="dxa"/>
        </w:tblCellMar>
      </w:tblPr>
      <w:tblGrid>
        <w:gridCol w:w="1195"/>
        <w:gridCol w:w="1051"/>
        <w:gridCol w:w="1054"/>
        <w:gridCol w:w="379"/>
        <w:gridCol w:w="379"/>
        <w:gridCol w:w="381"/>
        <w:gridCol w:w="109"/>
        <w:gridCol w:w="109"/>
        <w:gridCol w:w="109"/>
        <w:gridCol w:w="346"/>
        <w:gridCol w:w="346"/>
        <w:gridCol w:w="492"/>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September 30,</w:t>
              <w:br/>
              <w:t>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6,649,892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PSUs issued and outstanding</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259,769</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committed under ESPP</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49,109</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6,958,770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have any subsequent events as of the filing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You should read the following discussion and analysis of our financial condition and results of operations together with our unaudited condensed consolidated financial statements and the related notes included in Part I, Item 1, of this Quarterly Report on Form 10-Q for the fiscal quarter ended September 30, 2023</w:t>
      </w:r>
      <w:r>
        <w:rPr>
          <w:color w:val="000000"/>
        </w:rPr>
        <w:t xml:space="preserve"> </w:t>
      </w:r>
      <w:r>
        <w:rPr>
          <w:rFonts w:ascii="Times New Roman;sans-serif" w:hAnsi="Times New Roman;sans-serif"/>
          <w:b w:val="false"/>
          <w:i/>
          <w:color w:val="000000"/>
          <w:sz w:val="20"/>
        </w:rPr>
        <w:t>(“Form 10-Q”) and with the audited consolidated financial statements and the related notes for the fiscal year ended December 31, 2022 included in our Annual Report on Form 10-K (“Form 10-K”) filed with the U.S. Securities and Exchange Commission (“SEC”) on March 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This Form 10-Q contains “forward-looking” statements within the meaning of Section 27A of the Securities Act of 1933, as amended, and Section 21E of the Securities Exchange Act of 1934, as amended. All statements other than statements of historical facts contained in this Form 10-Q are forward-looking statements, including statements regarding our business strategy, plans, and objectives; expectations regarding our clinical and preclinical development programs, including our expectations about the timing of such programs; the expected timing of disclosure of clinical data from such programs; the safety, efficacy, and potential advantages of our product candidates; future regulatory filings</w:t>
      </w:r>
      <w:r>
        <w:rPr>
          <w:color w:val="000000"/>
        </w:rPr>
        <w:t xml:space="preserve"> </w:t>
      </w:r>
      <w:r>
        <w:rPr>
          <w:rFonts w:ascii="Times New Roman;sans-serif" w:hAnsi="Times New Roman;sans-serif"/>
          <w:b w:val="false"/>
          <w:i/>
          <w:color w:val="000000"/>
          <w:sz w:val="20"/>
        </w:rPr>
        <w:t>and interactions with regulatory authorities; our results of operations and financial position; and plans and objectives of management for future operations.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As a result of many factors, including but not limited to risks related to our limited operating history, history of net operating losses, financial position and our ability to raise additional capital as needed to fund our operations and product candidate development; risks inherent in the development of cell therapy products; risks associated with the initiation, cost, timing, progress, and results of current and future research and development programs, preclinical studies, and clinical trials; the risk that initial, preliminary, or interim clinical trial data will not ultimately be predictive of the safety and efficacy of our product candidates or that clinical outcomes may differ as patient enrollment continues and as more clinical data becomes available or different conclusions or considerations are reached once additional data have been received and fully evaluated; the risk that preclinical study results will not be borne out in human patients; risks related to our ability to obtain and maintain regulatory approval for our product candidates; risks that our product candidates, if approved, may not gain market acceptance due to negative public opinion and increased regulatory scrutiny of cell therapies involving genome editing; risks related to our ability to meet future regulatory standards with respect to our products; risks related to our ability to establish and/or maintain intellectual property rights covering our product candidates and genome-editing technology; risks of third parties asserting that our product candidates infringe their patents; risks related to developments of our competitors and our industry; risks related to our reliance on third parties to conduct our clinical trials and manufacture our product candidates; risks caused by public health crises such as the COVID-19 pandemic or geopolitical events on our business and operations; and other risks described in greater detail in the section of our Form 10-K titled “Risk Factors,” and in other filings we make with the SEC. The events and circumstances reflected in our forward-looking statements may not be achieved or may not occur, and actual results could differ materially from those described in or implied by the forward-looking statements. As a result of these risks, you should not place undue reliance on these forward-looking statements. We assume no obligation to revise or update any forward-looking statements for any reason,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We are a clinical-stage </w:t>
      </w:r>
      <w:r>
        <w:rPr>
          <w:rFonts w:ascii="Times New Roman;sans-serif" w:hAnsi="Times New Roman;sans-serif"/>
          <w:b/>
          <w:color w:val="000000"/>
          <w:sz w:val="24"/>
        </w:rPr>
        <w:t>C</w:t>
      </w:r>
      <w:r>
        <w:rPr>
          <w:rFonts w:ascii="Times New Roman;sans-serif" w:hAnsi="Times New Roman;sans-serif"/>
          <w:b w:val="false"/>
          <w:color w:val="000000"/>
          <w:sz w:val="20"/>
        </w:rPr>
        <w:t xml:space="preserve">lustered </w:t>
      </w:r>
      <w:r>
        <w:rPr>
          <w:rFonts w:ascii="Times New Roman;sans-serif" w:hAnsi="Times New Roman;sans-serif"/>
          <w:b/>
          <w:color w:val="000000"/>
          <w:sz w:val="24"/>
        </w:rPr>
        <w:t>R</w:t>
      </w:r>
      <w:r>
        <w:rPr>
          <w:rFonts w:ascii="Times New Roman;sans-serif" w:hAnsi="Times New Roman;sans-serif"/>
          <w:b w:val="false"/>
          <w:color w:val="000000"/>
          <w:sz w:val="20"/>
        </w:rPr>
        <w:t xml:space="preserve">egularly </w:t>
      </w:r>
      <w:r>
        <w:rPr>
          <w:rFonts w:ascii="Times New Roman;sans-serif" w:hAnsi="Times New Roman;sans-serif"/>
          <w:b/>
          <w:color w:val="000000"/>
          <w:sz w:val="24"/>
        </w:rPr>
        <w:t>I</w:t>
      </w:r>
      <w:r>
        <w:rPr>
          <w:rFonts w:ascii="Times New Roman;sans-serif" w:hAnsi="Times New Roman;sans-serif"/>
          <w:b w:val="false"/>
          <w:color w:val="000000"/>
          <w:sz w:val="20"/>
        </w:rPr>
        <w:t xml:space="preserve">nterspaced </w:t>
      </w:r>
      <w:r>
        <w:rPr>
          <w:rFonts w:ascii="Times New Roman;sans-serif" w:hAnsi="Times New Roman;sans-serif"/>
          <w:b/>
          <w:color w:val="000000"/>
          <w:sz w:val="24"/>
        </w:rPr>
        <w:t>S</w:t>
      </w:r>
      <w:r>
        <w:rPr>
          <w:rFonts w:ascii="Times New Roman;sans-serif" w:hAnsi="Times New Roman;sans-serif"/>
          <w:b w:val="false"/>
          <w:color w:val="000000"/>
          <w:sz w:val="20"/>
        </w:rPr>
        <w:t xml:space="preserve">hort </w:t>
      </w:r>
      <w:r>
        <w:rPr>
          <w:rFonts w:ascii="Times New Roman;sans-serif" w:hAnsi="Times New Roman;sans-serif"/>
          <w:b/>
          <w:color w:val="000000"/>
          <w:sz w:val="24"/>
        </w:rPr>
        <w:t>P</w:t>
      </w:r>
      <w:r>
        <w:rPr>
          <w:rFonts w:ascii="Times New Roman;sans-serif" w:hAnsi="Times New Roman;sans-serif"/>
          <w:b w:val="false"/>
          <w:color w:val="000000"/>
          <w:sz w:val="20"/>
        </w:rPr>
        <w:t xml:space="preserve">alindromic </w:t>
      </w:r>
      <w:r>
        <w:rPr>
          <w:rFonts w:ascii="Times New Roman;sans-serif" w:hAnsi="Times New Roman;sans-serif"/>
          <w:b/>
          <w:color w:val="000000"/>
          <w:sz w:val="24"/>
        </w:rPr>
        <w:t>R</w:t>
      </w:r>
      <w:r>
        <w:rPr>
          <w:rFonts w:ascii="Times New Roman;sans-serif" w:hAnsi="Times New Roman;sans-serif"/>
          <w:b w:val="false"/>
          <w:color w:val="000000"/>
          <w:sz w:val="20"/>
        </w:rPr>
        <w:t>epeats (“CRISPR”) genome-editing biopharmaceutical company dedicated to developing transformative therapies for patients with devastating diseases. Our genome-editing platform, including our novel chRDNA (</w:t>
      </w:r>
      <w:r>
        <w:rPr>
          <w:rFonts w:ascii="Times New Roman;sans-serif" w:hAnsi="Times New Roman;sans-serif"/>
          <w:b/>
          <w:color w:val="000000"/>
          <w:sz w:val="24"/>
          <w:u w:val="single"/>
        </w:rPr>
        <w:t>C</w:t>
      </w:r>
      <w:r>
        <w:rPr>
          <w:rFonts w:ascii="Times New Roman;sans-serif" w:hAnsi="Times New Roman;sans-serif"/>
          <w:b w:val="false"/>
          <w:color w:val="000000"/>
          <w:sz w:val="20"/>
        </w:rPr>
        <w:t xml:space="preserve">RISPR </w:t>
      </w:r>
      <w:r>
        <w:rPr>
          <w:rFonts w:ascii="Times New Roman;sans-serif" w:hAnsi="Times New Roman;sans-serif"/>
          <w:b/>
          <w:color w:val="000000"/>
          <w:sz w:val="24"/>
          <w:u w:val="single"/>
        </w:rPr>
        <w:t>h</w:t>
      </w:r>
      <w:r>
        <w:rPr>
          <w:rFonts w:ascii="Times New Roman;sans-serif" w:hAnsi="Times New Roman;sans-serif"/>
          <w:b w:val="false"/>
          <w:color w:val="000000"/>
          <w:sz w:val="20"/>
        </w:rPr>
        <w:t xml:space="preserve">ybrid </w:t>
      </w:r>
      <w:r>
        <w:rPr>
          <w:rFonts w:ascii="Times New Roman;sans-serif" w:hAnsi="Times New Roman;sans-serif"/>
          <w:b/>
          <w:color w:val="000000"/>
          <w:sz w:val="24"/>
          <w:u w:val="single"/>
        </w:rPr>
        <w:t>R</w:t>
      </w:r>
      <w:r>
        <w:rPr>
          <w:rFonts w:ascii="Times New Roman;sans-serif" w:hAnsi="Times New Roman;sans-serif"/>
          <w:b w:val="false"/>
          <w:color w:val="000000"/>
          <w:sz w:val="20"/>
        </w:rPr>
        <w:t>NA-</w:t>
      </w:r>
      <w:r>
        <w:rPr>
          <w:rFonts w:ascii="Times New Roman;sans-serif" w:hAnsi="Times New Roman;sans-serif"/>
          <w:b/>
          <w:color w:val="000000"/>
          <w:sz w:val="24"/>
          <w:u w:val="single"/>
        </w:rPr>
        <w:t>DNA</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0"/>
        </w:rPr>
        <w:t>or “chRDNA,” pronounced “chardonnay”) technology, enables superior editing precision to develop cell therapies that are armored to improve antitumor activity. We are advancing a pipeline of allogeneic, or off-the-shelf, cell therapies from our chimeric antigen receptor (“CAR”) T (“CAR-T”) cell and CAR-natural killer (“CAR-NK”) cell platforms as readily available therapeutic treatments for patients.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initially focused on advancing multiple allogeneic cell therapies for the treatment of hematologic malignancies and solid tumors. Our therapies are directed at established tumor cell surface targets for which autologous CAR-T cell therapeutics have already demonstrated clinical proof of concept, including CD19 and B cell maturation antigen (“BCMA”), as well as targets such as C-type lectin-like molecule-1 (“CLL-1,” also known as CD371). We use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chRDNA technologies to armor our cell therapies by using multiple genome-editing strategies, such as checkpoint disruption, immune cloaking, or a combination of these two strategies to enhance their antitumor activity.</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Our lead product candidate, CB-010, to our knowledge, is the first clinical-stage allogeneic anti-CD19 CAR-T cell therapy with programmed cell death protein 1 (“PD-1”) removed from the CAR-T cell surface by a genome-edited knockout of the </w:t>
      </w:r>
      <w:r>
        <w:rPr>
          <w:rFonts w:ascii="Times New Roman;sans-serif" w:hAnsi="Times New Roman;sans-serif"/>
          <w:b w:val="false"/>
          <w:i/>
          <w:color w:val="000000"/>
          <w:sz w:val="20"/>
        </w:rPr>
        <w:t>PDCD1</w:t>
      </w:r>
      <w:r>
        <w:rPr>
          <w:color w:val="000000"/>
        </w:rPr>
        <w:t xml:space="preserve"> </w:t>
      </w:r>
      <w:r>
        <w:rPr>
          <w:rFonts w:ascii="Times New Roman;sans-serif" w:hAnsi="Times New Roman;sans-serif"/>
          <w:b w:val="false"/>
          <w:color w:val="000000"/>
          <w:sz w:val="20"/>
        </w:rPr>
        <w:t>gene. We have demonstrated in preclinical models that the PD-1 knockout improved the durability of antitumor activity by disrupting a pathway that leads to rapid T cell exhaustion. CB-010 is being evaluated in our ongoing ANTLER phase 1 clinical trial in patients with relapsed or refractory B cell non-Hodgkin lymphoma (“r/r B-NHL”). We completed the dose escalation portion of the ANTLER trial and advanced into the dose expansion portion, and we are enrolling second-line large B cell lymphoma (“LBCL”) patients to determine the recommended phase 2 dose. CB-010 has received Regenerative Medicine Advanced Therapy (“RMAT”) designation for r/r LBCL and Fast Track designation for r/r B-NHL from the U.S. Food and Drug Administration (“FDA”). Additionally, CB-010 has received orphan drug designation from the FDA for follicular lymphoma. On July 13, 2023, we announced results of the long-term follow-up from the dose escalation portion of the ongoing ANTLER phase 1 trial evaluating our CB-010 product candidate. We plan to meet with the FDA by year end 2023 to discuss a potential pivotal clinical trial for CB-010 in second-line LBCL patients, and we plan to share FDA feedback by year-end 2023. CB-010 is, to our knowledge, the first anti-CD19 allogeneic CAR-T cell therapy to be evaluated in second-line LBCL patients. We also plan to report initial dose expansion data in second-line LBCL patients from the ongoing ANTLER trial in the first half of 2024.</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Our second product candidate, CB-011, is an allogeneic CAR-T cell therapy that targets BCMA. CB-011 is, to our knowledge, the first anti-BCMA CAR-T cell therapy incorporating an immune cloaking approach that includes both the removal of the endogenous beta-2 microglobulin (“B2M”) protein by a genome-edited knockout of the </w:t>
      </w:r>
      <w:r>
        <w:rPr>
          <w:rFonts w:ascii="Times New Roman;sans-serif" w:hAnsi="Times New Roman;sans-serif"/>
          <w:b w:val="false"/>
          <w:i/>
          <w:color w:val="000000"/>
          <w:sz w:val="20"/>
        </w:rPr>
        <w:t>B2M</w:t>
      </w:r>
      <w:r>
        <w:rPr>
          <w:color w:val="000000"/>
        </w:rPr>
        <w:t xml:space="preserve"> </w:t>
      </w:r>
      <w:r>
        <w:rPr>
          <w:rFonts w:ascii="Times New Roman;sans-serif" w:hAnsi="Times New Roman;sans-serif"/>
          <w:b w:val="false"/>
          <w:color w:val="000000"/>
          <w:sz w:val="20"/>
        </w:rPr>
        <w:t>gene and insertion of a B2M–human-leukocyte-antigen-E–peptide transgene (“B2M–HLA-E”), enabling expression of HLA-E on the CAR-T cell surface. This strategy is designed to reduce CAR-T cell rejection by both patient T cells and natural killer (“NK”) cells to potentially enable more durable antitumor activity. CB-011 is being evaluated in our ongoing CaMMouflage phase 1 clinical trial in patients with relapsed or refractory multiple myeloma (“r/r MM”). CB-011 has received Fast Track designation for r/r MM from the FDA. We plan to provide updates on dose escalation as the CaMMouflage phase 1 trial advances.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third product candidate, CB-012, is an allogeneic CAR-T cell therapy targeting CLL-1. CB-012 is, to our knowledge, the first allogeneic CAR-T cell therapy with both checkpoint disruption and immune cloaking strategies. We believe that CLL-1 is an attractive target for acute myeloid leukemia (“AML”) due to its expression on myeloid cancer cells, its enrichment in leukemic stem cells, and its absence on hematopoietic stem cells (“HSCs”). We have received clearance of our CB-012 investigational new drug application (“IND”) from the FDA. CB-012 will be evaluated in the AMpLify phase 1 clinical trial for patients with relapsed or refractory AML (“ r/r AML”).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developing allogeneic CAR-NK cell therapies derived from genome-edited induced pluripotent stem cells (“iPSCs”) for the treatment of solid tumors. CB-020 is our first CAR-NK product candidate from our CAR-NK platform and we have selected receptor tyrosine kinase like orphan receptor 1 (“ROR1”) as the tumor cell-surface target for CB-020. CB-020 and potential future CAR-NK cell therapy product candidates will contain genome edits designed to overcome some of the challenges of targeting solid tumors, such as trafficking, tumor infiltration, tumor heterogeneity, and the immunosuppressive tumor microenvironment.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our founding in 2011, we have devoted substantially all of our resources to organizing and staffing, business planning, raising capital, expanding our genome-editing platform technologies, developing our product candidates and building our pipeline, creating and maintaining our intellectual property portfolio, and establishing arrangements with third parties for the manufacture, testing, and clinical trial evaluations of our product candidates. We do not have any products approved for commercial sale and have not generated any revenue from product sales. We have incurred net losses since commencement of our operations.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primarily funded our operations through proceeds from the sales of our capital stock, revenue from our license and collaboration agreements, and proceeds from the sale of shares of Intellia Therapeutics, Inc. (“Intellia”) common stock. Our net losses for the three months ended September 30, 2023, and 2022 were $10.0 million and $26.6 million, respectively. Our net losses for the nine months ended September 30, 2023, and 2022 were $67.6 million and $72.4 million, respectively. We had an accumulated deficit of $264.8 million as of September 30, 2023. Our net losses and operating losses may fluctuate from quarter to quarter and year to year depending primarily on the timing of expenses associated with our clinical trials and nonclinical studies and our other research and development expenses. We anticipate that our expenses will increase substantially if and as we: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advance the ANTLER phase 1 clinical trial for our CB-010 product candidate, the CaMMouflage phase 1 clinical trial for our CB-011 product candidate, and the AMpLify phase 1 clinical trial for our CB-012 product candidate;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continue our current research programs and our preclinical and clinical development of our other current product candidates, including CB-020 and any other product candidates we identify and choose to develop;</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hire additional clinical, quality control, regulatory, technical operations, and scientific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seek to identify additional research programs and additional product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further develop our genome-editing technologies;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acquire or in-license technologies;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expand, maintain, enforce, and defend our intellectual property portfolio;</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seek regulatory and marketing approvals for any of our product candidates that successfully complete clinical trials, if any;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establish and expand manufacturing capabilities and supply chain capacity for our product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add operational, legal, financial, and management information systems and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experience any delays, challenges, or other issues associated with any of the above, including the failure of clinical trials meeting endpoints, unanticipated preclinical results or clinical trial data subject to differing interpretations, or the occurrence of potential safety issues or other development or regulatory challenges;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make royalty, milestone, or other payments under current, and any future, in-license or assignment agreements;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establish a sales, marketing, and distribution infrastructure to commercialize any product candidates for which we obtain marketing approval;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continue to operate as a public company.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own or operate any manufacturing facilities. We use multiple contract manufacturing organizations (“CMOs”) to individually manufacture, under current good manufacturing processes, chRDNA guides, Cas9 and Cas12a proteins, plasmids, and adeno-associated virus serotype 6 vectors used in the manufacture of our cell therapy product candidates as well as the CAR-T and CAR-NK cell therapy product candidates themselves. We expect to continue to rely on our CMOs for the manufacturing of our preclinical study and clinical trial materials, and most of these CMOs have capabilities for commercial manufacturing. Additionally, we may decide to build our own manufacturing facility in the future to provide greater flexibility and control over our clinical or commercial manufacturing needs.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therapeutic product development, we may never achieve profitability and, unless and until we are able to develop and commercialize our product candidates, we will need to continue to raise additional capital. Until such time as we can generate significant revenue from product sales, if ever, we expect to finance our operations through equity offerings (including our at-the-market facility), debt financings, collaborations and strategic alliances, licensing arrangements, or other sources. There are no assurances that we will be successful in obtaining an adequate level of financing to support our business plans as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Licensing and Collaboration Revenue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generated any revenue from product sales to date and do not expect to generate any revenue from the sale of products in the foreseeable future. If our development efforts for our product candidates are successful and result in regulatory approval and commercialization, we may generate revenue in the future from product sales. We cannot predict if, when, or to what extent we will generate revenue from the commercialization and sale of our product candidates if we succeed in obtaining regulatory approval for these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date, all of our revenue consists of licensing and collaboration revenue earned from collaboration and/or licensing agreements entered into with third parties, including related parties. Under these agreements, we license rights to certain intellectual property controlled by us. The terms of these arrangements typically include payments to us of one or more of the following: nonrefundable, upfront license fees or exclusivity fees; annual maintenance fees; regulatory and/or commercial milestone payments; research and development payments; and royalties on the net sales of products and/or services. Each of these payments results in licensing and collaboration revenue. Revenue under such licensing and collaboration agreements was $23.7 million and $3.3 million for the three months ended September 30, 2023, and 2022, respectively, and $30.9 million and $10.2 million for the nine months ended September 30, 2023, and 2022, respectively. See Notes 4, 5, and 7 to our unaudited condensed consolidated financial statements included elsewhere in this Form 10-Q.</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our revenue recognition policy related to our licensing and collaboration agreements, see Note 2 to the consolidated financial statements included in our Form 10-K.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foreseeable future we expect substantially all of our revenue will be generated from licensing and collaboration agreements.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internal and external expenses incurred in connection with the development of our product candidates and our platform technologies, and our in-licensing and assignment agreements.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External costs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costs associated with acquiring technology and intellectual property licenses that have no alternative future uses, sublicensing revenue, and milestones under our licensing agreements;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costs incurred in connection with the preclinical and clinical development and manufacturing of our product candidates, including under agreements with contract research organizations (“CROs”), CMOs, and clinical sites;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other research and development costs, including laboratory materials and supplies, and consulting services.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Internal costs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personnel-related costs, including salaries, benefits, and share-based compensation expense, for our research and development personnel;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allocated facilities and other overhead expenses, including expenses for rent, facilities maintenance, and depreciation.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prepaid expenses and other current assets on our condensed consolidated balance sheets. The capitalized amounts are recognized as expenses as the goods are delivered or as related services are performed. We separately track certain external costs on a program-by-program basis; however, we do not track costs that are deployed across multiple programs.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for the foreseeable future as we continue to implement our business strategy; advance our CB-010 and CB-011 product candidates through clinical trials and later stages of development; conduct preclinical studies and clinical trials for our other product candidates; seek regulatory approvals for any product candidates that successfully complete clinical trials; expand our research and development efforts and incur expenses associated with hiring additional personnel to support our research and development efforts; and seek to identify, in-license, acquire, and/or develop additional product candidates.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successful development of our CB-010, CB-011, CB-012, and CB-020 product candidates, as well as other potential future product candidates, is highly uncertain. Accordingly, at this time, we cannot reasonably estimate or know the nature, timing, and costs of the efforts that will be necessary to complete the development of our product candidates. We are also unable to predict when, if ever, we will generate revenue and material net cash inflows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commercialization and sale of any of our product candidates for which we may obtain marketing approval. We may never succeed in achieving regulatory approval for any of our product candidates. The duration, costs, and timing of preclinical studies, clinical trials, and development of our product candidates will depend on a variety of factors,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sufficiency of our financial and other resources;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acceptance of our CRISPR chRDNA genome-editing technology;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ability to develop differentiating features so that our products have a competitive edge;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completion of preclinical studies;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establishment, maintenance, enforcement, and defense of our patents and other intellectual property rights;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not infringe, misappropriate, or otherwise violate third-party intellectual property rights;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clearance of IND applications to initiate clinical trials on product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successful enrollment in, and completion of, our clinical trials on our product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data from our clinical trials that support an acceptable risk-benefit profile of our product candidates for the intended patient populations and that demonstrate safety and efficacy;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entry into collaborations to further the development of our product candidates or for the development of new product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successful development of our internal process development and transfer to larger-scale facilities;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establishment of agreements with CMOs for clinical and commercial supplies and scaling up manufacturing processes and capabilities to support our clinical trials;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receipt of marketing approvals from applicable regulatory authorities;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grant of regulatory exclusivity for our product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establishment of sales, marketing, and distribution capabilities necessary for commercialization of our product candidates if and when approved, whether by us or in collaboration with third parties;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maintenance of a continued acceptable safety profile of our products post-approval;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acceptance of our product candidates, if and when approved by the applicable regulatory authorities, by patients, the medical community, and third-party payors;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ability of our products to compete with other therapies and treatment options;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establishment and maintenance of healthcare coverage and adequate reimbursement;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expanded indications and patient populations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periods indicated:</w:t>
      </w:r>
    </w:p>
    <w:tbl>
      <w:tblPr>
        <w:tblW w:w="10205" w:type="dxa"/>
        <w:jc w:val="left"/>
        <w:tblInd w:w="0" w:type="dxa"/>
        <w:tblLayout w:type="fixed"/>
        <w:tblCellMar>
          <w:top w:w="28" w:type="dxa"/>
          <w:left w:w="28" w:type="dxa"/>
          <w:bottom w:w="28" w:type="dxa"/>
          <w:right w:w="28" w:type="dxa"/>
        </w:tblCellMar>
      </w:tblPr>
      <w:tblGrid>
        <w:gridCol w:w="2060"/>
        <w:gridCol w:w="1396"/>
        <w:gridCol w:w="1400"/>
        <w:gridCol w:w="219"/>
        <w:gridCol w:w="749"/>
        <w:gridCol w:w="113"/>
        <w:gridCol w:w="113"/>
        <w:gridCol w:w="113"/>
        <w:gridCol w:w="113"/>
        <w:gridCol w:w="219"/>
        <w:gridCol w:w="749"/>
        <w:gridCol w:w="113"/>
        <w:gridCol w:w="109"/>
        <w:gridCol w:w="109"/>
        <w:gridCol w:w="109"/>
        <w:gridCol w:w="216"/>
        <w:gridCol w:w="739"/>
        <w:gridCol w:w="111"/>
        <w:gridCol w:w="111"/>
        <w:gridCol w:w="111"/>
        <w:gridCol w:w="111"/>
        <w:gridCol w:w="216"/>
        <w:gridCol w:w="739"/>
        <w:gridCol w:w="167"/>
      </w:tblGrid>
      <w:tr>
        <w:trPr/>
        <w:tc>
          <w:tcPr>
            <w:tcW w:w="206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costs: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related to licensing, sublicensing revenue, and milestones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provided by CROs, CMOs, clinical sites, and other third parties that conduct preclinical studies and clinical trials on our behalf</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research and development expenses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external costs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costs:</w:t>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Personnel-related expenses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internal costs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28,584 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19,991 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80,796 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56,494 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primarily of personnel-related costs, intellectual property costs, consulting costs, and allocated overhead, including rent, equipment depreciation, and utilities. Personnel-related costs consist of salaries, benefits, and stock-based compensation for our general and administrative personnel. Intellectual property costs include expenses for filing, prosecuting, and maintaining patents and patent applications, including certain patents and patent applications that we license from third parties. We are entitled to receive reimbursement from third parties of a portion of the costs for filing, prosecuting, and maintaining certain patents and patent applications. We accrue for these reimbursements as the respective expenses are incurred and classify such reimbursements as a reduction of general and administrative expenses. During the three months ended September 30, 2023, and 2022, we recorded $0.2 million and $1.0 million, respectively, of patent cost reimbursements as a reduction to general and administrative expense. During the nine months ended September 30, 2023, and 2022, we recorded $1.3 million and $3.1 million, respectively, of patent cost reimbursements as a reduction to general and administrative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general and administrative expenses may increase in the future as a result of expanding our operations, including hiring personnel, preparing for potential commercialization of our product candidates, and additional facility occupancy costs, as well as other expenses necessary to support the growth and operations of a clinical-stage public company.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interest income earned on cash and marketable securities, change in the fair value of our equity investments, and change in the fair value of the Memorial Sloan Kettering Cancer Center (“MSKCC”) success payments liability under the Exclusive License Agreement, dated November 13, 2020, with MSKCC (the “MSKCC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2023, and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periods indicated:</w:t>
      </w:r>
    </w:p>
    <w:tbl>
      <w:tblPr>
        <w:tblW w:w="9285" w:type="dxa"/>
        <w:jc w:val="left"/>
        <w:tblInd w:w="0" w:type="dxa"/>
        <w:tblLayout w:type="fixed"/>
        <w:tblCellMar>
          <w:top w:w="28" w:type="dxa"/>
          <w:left w:w="28" w:type="dxa"/>
          <w:bottom w:w="28" w:type="dxa"/>
          <w:right w:w="28" w:type="dxa"/>
        </w:tblCellMar>
      </w:tblPr>
      <w:tblGrid>
        <w:gridCol w:w="1877"/>
        <w:gridCol w:w="1652"/>
        <w:gridCol w:w="1661"/>
        <w:gridCol w:w="221"/>
        <w:gridCol w:w="835"/>
        <w:gridCol w:w="114"/>
        <w:gridCol w:w="114"/>
        <w:gridCol w:w="114"/>
        <w:gridCol w:w="114"/>
        <w:gridCol w:w="221"/>
        <w:gridCol w:w="835"/>
        <w:gridCol w:w="114"/>
        <w:gridCol w:w="109"/>
        <w:gridCol w:w="109"/>
        <w:gridCol w:w="109"/>
        <w:gridCol w:w="211"/>
        <w:gridCol w:w="721"/>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collaboration revenue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the MSKCC success payments liability</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(26,647)</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Licensing and Collaboration Revenue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collaboration revenue increased by $20.4 million to $23.7 million for the three months ended September 30, 2023, from $3.3 million for the three months ended September 30, 2022. This increase was primarily related to an increase of $19.8 million recognized under the Collaboration and License Agreement (as amended, the “AbbVie Agreement”) with AbbVie Manufacturing Management Unlimited Company (“AbbVie”), which includes the recognition of the previously deferred revenue that was recognized in full upon termination of the AbbVie Agreement.</w:t>
      </w:r>
    </w:p>
    <w:p>
      <w:pPr>
        <w:pStyle w:val="TextBody"/>
        <w:bidi w:val="0"/>
        <w:spacing w:before="200" w:after="283"/>
        <w:ind w:left="0" w:right="0" w:firstLine="72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 by licensee for the periods indicated:</w:t>
      </w:r>
    </w:p>
    <w:tbl>
      <w:tblPr>
        <w:tblW w:w="7621" w:type="dxa"/>
        <w:jc w:val="left"/>
        <w:tblInd w:w="0" w:type="dxa"/>
        <w:tblLayout w:type="fixed"/>
        <w:tblCellMar>
          <w:top w:w="28" w:type="dxa"/>
          <w:left w:w="28" w:type="dxa"/>
          <w:bottom w:w="28" w:type="dxa"/>
          <w:right w:w="28" w:type="dxa"/>
        </w:tblCellMar>
      </w:tblPr>
      <w:tblGrid>
        <w:gridCol w:w="1278"/>
        <w:gridCol w:w="1121"/>
        <w:gridCol w:w="1126"/>
        <w:gridCol w:w="245"/>
        <w:gridCol w:w="840"/>
        <w:gridCol w:w="127"/>
        <w:gridCol w:w="127"/>
        <w:gridCol w:w="127"/>
        <w:gridCol w:w="127"/>
        <w:gridCol w:w="245"/>
        <w:gridCol w:w="718"/>
        <w:gridCol w:w="127"/>
        <w:gridCol w:w="109"/>
        <w:gridCol w:w="109"/>
        <w:gridCol w:w="109"/>
        <w:gridCol w:w="211"/>
        <w:gridCol w:w="72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AbbVie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Pfizer, related party</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licensees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licensing and collaboration revenue</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$8.6 million to $28.6 million for the three months ended September 30, 2023, from $20.0 million for the three months ended September 30, 2022. This increase was primarily related to increases of $5.4 million of net increase in external CMO and CRO activities for our clinical CAR-T cell therapy product candidates, driven by an increases of $3.2 million due to timing of CMO activities, and $2.2 million in CRO activities for clinical trials; $2.5 million in personnel-related expenses, including stock-based compensation, due to headcount increases; $1.5 million in other facilities and allocated expenses; and $0.5 million in expenses related to licenses, sublicensing revenue, and milestones; partially offset by a decrease of $1.3 million in other 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by $0.1 million to $9.7 million for the three months ended September 30, 2023, from $9.8 million for the three months ended September 30, 2022. This decrease was primarily related to decreases of $1 million in patent prosecution and maintenance costs; and $0.4 million in director and officer insurance, accounting, and other service related expenses; partially offset by an increase of $1.1 million in personnel-related expenses, including stock-based compensation, due to headcount increases.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Other Income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increased by $4.7 million for three months ended September 30, 2023, as compared to the three months ended September 30,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loss related to the change in the fair value of the MSKCC success payments liability in the amount of $0.1 million and $1.6 million, for the three months ended September 30, 2023, and 2022, respectively.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by $3.3 million during the three months ended September 30, 2023, compared to September 30, 2022. The increase primarily relates to a $3.3 million increase in interest income earned from marketable securities.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periods indicated:</w:t>
      </w:r>
    </w:p>
    <w:tbl>
      <w:tblPr>
        <w:tblW w:w="9195" w:type="dxa"/>
        <w:jc w:val="left"/>
        <w:tblInd w:w="0" w:type="dxa"/>
        <w:tblLayout w:type="fixed"/>
        <w:tblCellMar>
          <w:top w:w="28" w:type="dxa"/>
          <w:left w:w="28" w:type="dxa"/>
          <w:bottom w:w="28" w:type="dxa"/>
          <w:right w:w="28" w:type="dxa"/>
        </w:tblCellMar>
      </w:tblPr>
      <w:tblGrid>
        <w:gridCol w:w="1877"/>
        <w:gridCol w:w="1652"/>
        <w:gridCol w:w="1661"/>
        <w:gridCol w:w="214"/>
        <w:gridCol w:w="807"/>
        <w:gridCol w:w="110"/>
        <w:gridCol w:w="110"/>
        <w:gridCol w:w="110"/>
        <w:gridCol w:w="110"/>
        <w:gridCol w:w="214"/>
        <w:gridCol w:w="807"/>
        <w:gridCol w:w="110"/>
        <w:gridCol w:w="109"/>
        <w:gridCol w:w="109"/>
        <w:gridCol w:w="109"/>
        <w:gridCol w:w="211"/>
        <w:gridCol w:w="721"/>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collaboration revenue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the MSKCC success payments liability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(67,565)</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(72,432)</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Licensing and Collaboration Revenue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collaboration revenue increased by $20.8 million to $30.9 million for the nine months ended September 30, 2023, from $10.2 million for the nine months ended September 30, 2022. This increase was primarily related to increases of $19.0 million recognized under the AbbVie Agreement with AbbVie, which includes the recognition of the previously deferred revenue that was recognized in full upon termination of the AbbVie Agreement, and $1.2 million related to the Edge Cas9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 by licensee for the periods indicated:</w:t>
      </w:r>
    </w:p>
    <w:tbl>
      <w:tblPr>
        <w:tblW w:w="7528" w:type="dxa"/>
        <w:jc w:val="left"/>
        <w:tblInd w:w="0" w:type="dxa"/>
        <w:tblLayout w:type="fixed"/>
        <w:tblCellMar>
          <w:top w:w="28" w:type="dxa"/>
          <w:left w:w="28" w:type="dxa"/>
          <w:bottom w:w="28" w:type="dxa"/>
          <w:right w:w="28" w:type="dxa"/>
        </w:tblCellMar>
      </w:tblPr>
      <w:tblGrid>
        <w:gridCol w:w="1277"/>
        <w:gridCol w:w="1121"/>
        <w:gridCol w:w="1126"/>
        <w:gridCol w:w="227"/>
        <w:gridCol w:w="776"/>
        <w:gridCol w:w="117"/>
        <w:gridCol w:w="117"/>
        <w:gridCol w:w="117"/>
        <w:gridCol w:w="117"/>
        <w:gridCol w:w="227"/>
        <w:gridCol w:w="776"/>
        <w:gridCol w:w="117"/>
        <w:gridCol w:w="109"/>
        <w:gridCol w:w="109"/>
        <w:gridCol w:w="109"/>
        <w:gridCol w:w="211"/>
        <w:gridCol w:w="721"/>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AbbVie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Edge Animal Health, related party</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 related party</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licensees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licensing and collaboration revenue</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$24.3 million to $80.8 million for the nine months ended September 30, 2023, from $56.5 million for the nine months ended September 30, 2022. This increase was primarily related to increases of $12.2 million of net increase in external CMO and CRO activities for our clinical CAR-T cell therapy product candidates, driven by an increases of $5.3 million due to timing of CMO activities, and $6.8 million in CRO activities for clinical trials; $8.4 million in personnel-related expenses, including stock-based compensation, due to headcount increases; $2.6 million in other facilities and allocated expenses; and $0.8 million in expenses related to licenses, sublicensing revenue, and milestones.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by $0.7 million to $28.7 million for the nine months ended September 30, 2023, from $29.5 million for the nine months ended September 30, 2022. This decrease was primarily related to decreases of $2.5 million in director and officer insurance, legal, accounting, and other service-related expenses; and $0.9 million in expenses related to licenses, sublicensing revenue, and milestones partially; offset by increases of $2 million in personnel-related expenses, including stock-based compensation, due to headcount increases; and $0.6 million in other facilities and allocated expenses.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Other Income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increased by $7.7 million for nine months ended September 30, 2023, as compared to the nine months ended September 30,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gain related to the change in the fair value of the MSKCC success payments liability in the amount of $0.4 million and $1.0 million, respectively, for the nine months ended September 30, 2023, and 2022, respectively.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by $8.2 million during the nine months ended September 30, 2023, compared to September 30, 2022. The increase primarily relates to a $8.2 million increase in interest income earned from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Capital Resources, and Capital Requirements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generated any revenue from product sales and have incurred significant operating losses and negative cash flows from our operations. We have funded our operations through sales of our capital stock, including sales of our convertible preferred stock, which generated approximately $150.1 million in aggregate net proceeds; from our initial public offering (“IPO”) in 2021, which generated approximately $321.0 million in net proceeds; and from an underwritten follow-on public offering in 2023, which generated approximately $134.4 million in net proceeds. We have also received approximately $88.4 million in net proceeds from the sale of Intellia common stock. Additionally, we received a $25.0 million equity investment from Pfizer Inc. (“Pfizer”) through a private placement transaction in June 2023. Further, through September 30, 2023, we received approximately $90.9 million from licensing agreements, licensing and collaboration agreements, a service agreement, patent assignments, and government grants, including $34.6 million that was received from AbbVie under the AbbVie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9, 2022, we filed a universal shelf registration statement on Form S-3 (the “Shelf Registration Statement”) with the SEC, which allows us to, from time to time, sell up to $400.0 million of common stock, preferred stock, debt securities, warrants, rights, or units comprised of any combination thereof (including the $100.0 million of common stock reserved for our at-the-market equity offering program described below). The Shelf Registration Statement was declared effective by the SEC on August 16, 2022. As of September 30, 2023, we had sold securities in an aggregate amount of $144.9 million under the Shelf Registration Statement.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On August 9, 2022, we entered into an Open Market Sale Agreement</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(the “ATM Sales Agreement”) with Jefferies LLC (“Jefferies”), pursuant to which, upon the terms and subject to the conditions and limitations set forth in the ATM Sales Agreement, we may, from time to time, in our sole discretion, issue and sell, through Jefferies, acting as sales agent, up to $100.0 million of our shares of common stock, by any method permitted by law deemed to be an “at the market offering” as defined in Rule 415(a)(4) of the Securities Act of 1933, as amended (the “Securities Act”). Jefferies uses commercially reasonable efforts consistent with its normal sales and trading practices to sell shares from time to time, based upon our instructions (including any price or size limits or other customary parameters or conditions we may impose). We pay Jefferies a commission equal to 3.0% of the aggregate gross proceeds of any shares sold through Jefferies pursuant to the ATM Sales Agreement. During the nine months ended September 30, 2023, we sold 168,635 shares of our common stock under the ATM Sales Agreement at an average price per share of $7.32 for aggregate gross proceeds of $1.2 million ($1.0 million net of offering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and August 2023, we issued and sold a total of 22,115,384 shares of our common stock in an underwritten follow-on public offering at a price to the public of $6.50 per share, which included the full exercise of the underwriters’ right to purchase 2,884,615 additional shares of our common stock. The total net proceeds from the offering were approximately $134.4 million, after deducting underwriting discounts and commissions and offering expenses. The shares were sold under the Shelf Registration Statement.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cash equivalents, and marketable securities of $396.7 million. We will continue to be dependent upon equity financing, debt financing, collaboration and licensing arrangements, and/or other forms of capital raises at least until we are able to generate significant positive cash flows from our operations. We have no current ongoing material financing commitments, such as lines of credit or guarantees, that are expected to affect our liquidity over the next five years, except for our lease commitments as described in Note 8 to our condensed consolidated financial statements included elsewhere in this Form 10-Q, and payments under certain of our license agreements as described in Note 4 to our condensed consolidated financial statements included elsewhere in this Form 10-Q.</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operating plan, we expect that our existing cash, cash equivalents, and marketable securities will be sufficient to fund our current operating plan for at least the next 12 months from the date of this Form 10-Q. We have based these estimates on our current assumptions, which may require future adjustments based on our ongoing business decisions.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Strategic Investment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29, 2023, we entered into a Securities Purchase Agreement (the “Securities Purchase Agreement”) with Pfizer, pursuant to which we, in a private placement transaction (the “Pfizer Investment”), agreed to issue and sell to Pfizer 4,690,431 shares of our common stock, par value $0.0001 per share, at a purchase price of $5.33 per share, for aggregate gross proceeds of approximately $25.0 million. The issuance and sale of the shares to Pfizer closed on June 30, 2023. We granted certain registration rights to Pfizer under the Securities Purchase Agreement covering the resale of the shares. Unless otherwise agreed by Pfizer, we have agreed to use the proceeds from the Pfizer Investment solely in connection with (i) the development program for our allogeneic anti-BCMA CAR-T cell therapy known as CB-011 product candidate that is being evaluated in the CaMMouflage clinical trial and/or (ii) any other single-targeted anti-BCMA CAR-T cell therapy using an anti-BCMA single-chain variable fragment owned or controlled by us (collectively, cell therapies described in clauses (i) and (ii) are referred to as a “BCMA Product Candidate”), for 36 months beginning on June 29,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2023, in connection with the Pfizer Investment, we and Pfizer also entered into an Information Rights Agreement (the “Information Rights Agreement”), having a thirty-six (36)-month term. Under the Information Rights Agreement, we granted Pfizer a thirty (30)-calendar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then we may pursue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negotiations and enter into an agreement with any third party. If we and such third party do not reach agreement on the Grant of Program Rights within a specified time period, Pfizer’s right of first negotiation would be reinstated. Under the Information Rights Agreement, we also agreed to grant Pfizer the right to designate one representative to serve on our scientific advisory board. Through an information sharing committee, we will provide calendar quarter updates to Pfizer regarding the development program for a BCMA Product Candidate. Additionally, we agreed to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29, 2023, we and Pfizer also entered into a Voting Agreement, pursuant to which, for a period of 12 months, Pfizer agreed to cause our voting securities that Pfizer beneficially owns (within the meaning of Rules 13d-3 or 13d-5 under the Securities Exchange Act of 1934, as amended (the “Exchange Act”)) in excess of 4.99% of our then issued and outstanding voting securities to be voted (i) with respect to any matter directly relating to remuneration of directors, directors’ insurance, or indemnification or release from liability of directors, in a manner proportionally consistent with the votes properly cast for and against by holders of voting securities not beneficially owned by Pfizer, and (ii) with respect to any other matter in which Pfizer shall have the right to vote such voting securities, in accordance with the recommendation of our board of directors or any applicable committee thereof.</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cash is to fund operating expenses and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number and characteristics of the product candidates that we develop;</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increase in the number of our employees and expansion of our physical facilities to support growth initiatives;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whether we enter into any additional collaboration agreements and the terms of any such agreements;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cost of filing and prosecuting our patent applications, and maintaining and enforcing our patents and other intellectual property rights;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our products after we receive regulatory approval;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cost and timing of completion of commercial-scale outsourced manufacturing activities or the cost and timing of completion of clinical-scale and commercial-scale internal manufacturing activities;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without a partner;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amount of revenue, if any, received from commercial sales of our product candidates, should any of our product candidates receive marketing approval;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achievement of milestones or occurrence of other developments that trigger payments by or to third parties under any collaboration or licensing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implementation of various computerized informational systems and efforts to enhance operational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impact of the COVID-19 pandemic or other public health crises or geopolitical events on our clinical development or operations;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impact of inflationary pressures on the cost of our operations;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operating plans may change, and we expect to need additional funds to meet operational needs and capital requirements for clinical trials and other research and development expenditures.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the development of human therapeutics, we may never achieve profitability and, unless and until we are able to develop and commercialize our product candidates, we will need to continue to raise additional capital; however, funding may not be available to us on acceptable terms, or at all. If we are unable to obtain adequate financing when needed, we may have to delay, reduce the scope of, or suspend one or more of our preclinical studies, clinical trials, research and development programs, and/or commercialization efforts. We may seek to raise any necessary additional capital through a combination of equity offerings (including our at-the-market equity offering program), debt financings, collaborations and strategic alliances, licensing arrangements, or other sources. If we raise additional capital through debt financing, we may be subject to covenants limiting or restricting our ability to take specific actions, such as incurring additional debt, making capital expenditures, or declaring dividends. If we raise additional capital through the sale of equity or convertible debt securities, the issuance of these securities could result in dilution to our stockholders. If we raise additional capital through marketing and distribution arrangements or other collaborations, strategic alliances, or licensing arrangements with third parties or other sources,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w:t>
      </w:r>
    </w:p>
    <w:tbl>
      <w:tblPr>
        <w:tblW w:w="9791" w:type="dxa"/>
        <w:jc w:val="left"/>
        <w:tblInd w:w="0" w:type="dxa"/>
        <w:tblLayout w:type="fixed"/>
        <w:tblCellMar>
          <w:top w:w="28" w:type="dxa"/>
          <w:left w:w="28" w:type="dxa"/>
          <w:bottom w:w="28" w:type="dxa"/>
          <w:right w:w="28" w:type="dxa"/>
        </w:tblCellMar>
      </w:tblPr>
      <w:tblGrid>
        <w:gridCol w:w="2029"/>
        <w:gridCol w:w="1787"/>
        <w:gridCol w:w="1793"/>
        <w:gridCol w:w="211"/>
        <w:gridCol w:w="796"/>
        <w:gridCol w:w="109"/>
        <w:gridCol w:w="109"/>
        <w:gridCol w:w="109"/>
        <w:gridCol w:w="109"/>
        <w:gridCol w:w="211"/>
        <w:gridCol w:w="901"/>
        <w:gridCol w:w="109"/>
        <w:gridCol w:w="109"/>
        <w:gridCol w:w="109"/>
        <w:gridCol w:w="109"/>
        <w:gridCol w:w="211"/>
        <w:gridCol w:w="826"/>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2" w:before="0" w:after="0"/>
              <w:jc w:val="center"/>
              <w:rPr/>
            </w:pPr>
            <w:r>
              <w:rPr>
                <w:rFonts w:ascii="Times New Roman;sans-serif" w:hAnsi="Times New Roman;sans-serif"/>
                <w:b/>
                <w:color w:val="000000"/>
                <w:sz w:val="16"/>
              </w:rPr>
              <w:t>Change</w:t>
            </w:r>
            <w:r>
              <w:rPr>
                <w:color w:val="000000"/>
              </w:rPr>
              <w:t xml:space="preserve"> </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pPr>
            <w:r>
              <w:rPr>
                <w:rFonts w:ascii="Times New Roman;sans-serif" w:hAnsi="Times New Roman;sans-serif"/>
                <w:b/>
                <w:color w:val="000000"/>
                <w:sz w:val="16"/>
              </w:rPr>
              <w:t>(in thousands)</w:t>
            </w:r>
            <w:r>
              <w:rPr>
                <w:color w:val="000000"/>
              </w:rPr>
              <w:t xml:space="preserve"> </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$71.9 million and $65.9 million for the nine months ended September 30, 2023, and 2022, respectively.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for the nine months ended September 30, 2023, was primarily due to our net loss of $67.6 million, adjusted by non-cash charges of $8.0 million and net changes in our operating assets and liabilities of $12.3 million. Our non-cash charges were primarily comprised of $10.2 million of stock-based compensation, $2.8 million of depreciation and amortization expense, and non-cash lease expense of $1.6 million, which were partially offset by accretion of discounts on investments of $6.0 million, and change in the fair value of the MSKCC success payments liability of $0.4 million. The changes in our operating assets and liabilities were primarily due to an increase in accounts receivable of $0.9 million and decreases of $16.3 million in deferred revenue, current and long-term, and $0.3 million in operating lease liabilities, partially offset by decreases in prepaid expenses and other current assets of $0.9 million, contract assets of $0.6 million, and increases of $2.8 million in accrued expenses and other current liabilities, and $1.1 million in accounts payable.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for the nine months ended September 30, 2022, was primarily due to our net loss of $72.4 million, adjusted by non-cash charges of $10.6 million and net changes in our operating assets and liabilities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 million. Our non-cash charges were primarily comprised of $8.6 million of stock-based compensation, non-cash lease expense of $1.6 million, $1.1 million of depreciation and amortization expense, and acquired in-process research and development of $0.3 million, which were partially offset by the change in the fair value of the MSKCC success payments liability of $1.0 million. The changes in our operating assets and liabilities were due to increases of $1.6 million in prepaid expenses and other current assets, $0.4 million in contract assets, $0.4 million in other assets, and decreases of $2.6 million in accounts payable, $3.3 million in deferred revenue, and $0.3 million in operating lease liabilities, partially offset by decreases of $0.8 million in accounts receivable and $2.8 million in other receivables, an increase of $0.9 million in accrued expenses and other current liabilities.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Used in Investing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cash used in investing activities was $36.7 million, and during the nine months ended September 30, 2022, cash used in investing activities was $94.4 million.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nine months ended September 30, 2023, was primarily due purchases of marketable securities of $310.6 million and property and equipment of $9.3 million, partially offset by proceeds from the sales and maturities of marketable securities of $283.2 million.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nine months ended September 30, 2022, was primarily due to purchases of marketable securities of $252.6 million, property and equipment of $4.7 million, and in-process research and development of $0.3 million, partially offset by the proceeds from maturities of marketable securities of $163.1 million.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2022, cash provided by financing activities was $154.3 million and $2.0 million, respectively.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nine months ended September 30, 2023, was primarily due to $134.5 million of net proceeds from our follow-on public offering, $17.3 million of net proceeds allocated to the issuance of common stock in a private placement transaction with Pfizer, net proceeds from our at-the-market equity offering program of $1.0 million, and the exercise of stock options and purchases of common stock under the 2021 Employee Stock Purchase Plan (“2021 ESPP”) of $1.5 million.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nine months ended September 30, 2022, was due to the exercise of stock options and purchases of common stock under the 2021 ESPP of $2.0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are disclosed in our audited consolidated financial statements for the year ended December 31, 2022, and the related notes included in our Form 10-K. Since the date of such financial statements, there have been no material changes to our significant accounting policies. There have been no material changes to our critical accounting estimates as compared to those disclosed in our Form 10-K.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our unaudited condensed consolidated financial statements included elsewhere in this Form 10-Q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General Corporation Law and in accordance with our amended and restated bylaws, we indemnify our executive officers and directors for certain events or occurrences while such officer or director is or was serving in such capacity. We are also party to indemnification agreements with our executive officers, directors, and controller. We believe the fair value of the indemnification rights and agreements is minimal. Accordingly, we have not recorded any liabilities for these indemnification rights and agreements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Emerging Growth Company and Smaller Reporting Company Status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condensed consolidated financial statements may not be comparable to those of companies that comply with the new or revised accounting pronouncements as of public company effective dates.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use the extended transition period for any other new or revised accounting standards during the period in which we remain an emerging growth company.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Form 10-K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market risk during the nine months ended September 30, 2023. For a discussion of our exposure to market risk, refer to the section titled “Quantitative and Qualitative Disclosures About Market Risk”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our Disclosure Controls and Procedures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principal executive officer and principal financial officer have concluded that, based upon the evaluation described above, as of September 30, 2023, our disclosure controls and procedures were effective.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management’s evaluation pursuant to Rules 13a-15(f) or 15d-15(f) under the Exchange Act during the three months ended September 30, 2023,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become involved in litigation arising in the ordinary course of business. Regardless of the outcome, litigation can have a material adverse effect on us due to defense and settlement costs, diversion of our management resources, and other factors.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11, 2023, a putative class action lawsuit was filed in the U.S. District Court for the Northern District of California against our company and certain of our officers and current and former members of our board of directors, Bergman v. Caribou Biosciences, Inc., et al., Case Number 4:23-cv-01742-YGR (the “Bergman Case”). The Bergman complaint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and Sections 10(b) and 20(a) of the Exchange Act. On September 18, 2023, plaintiffs filed an amended complaint adding the IPO underwriters as defendants and making substantially the same allegations as the original complaint.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22, 2023, a putative class action lawsuit was filed in Superior Court of the State of California for the County of Alameda against our company and certain of our officers and current and former members of our board of directors, Lowry v. Caribou Biosciences, Inc., et al., Case Number T23-1084 (the “Lowry Case”). The Lowry Case challenges disclosures regarding our company’s business, operations, and prospects, specifically with respect to the alleged durability of CB-010’s therapeutic effect and the product candidate’s clinical and commercial prospects, in alleged violation of Sections 11 and 15 of the Securities Act. The allegations and claims in the Lowry Case are substantially similar to the Securities Act claims asserted in the Bergman Case. On April 26, 2023, we filed a motion to stay the Lowry Case during the pendency of the parallel federal court litigation in the Bergman Case, and, on July 11, 2023, our motion to stay was denied. On September 11, 2023, plaintiff filed an amended complaint making substantially the same allegations as the original complaint.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lawsuits are without merit and intend to vigorously defend the claims asserted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Item 1A. to Part I of our Form 10-K. The risks described in our Form 10-K are not the only risks facing our Company. Additional risks and uncertainties not currently known to us or that we currently deem to be immaterial also may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 for the Three Months Ended September 30,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unregistered sales of equity securities during the three months ended September 30, 2023, were previously reported on a Current Report on Form 8-K.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Use of Proceeds from our IPO</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proceeds from our IPO, after deducting underwriting discounts and commissions and offering expenses of $28.6 million, were $321.0 million. We are holding a significant portion of the balance of the net proceeds from our IPO in money market mutual funds, U.S. Treasury bills, corporate debt securities, and U.S. government agency bonds. There has been no material change in our planned use of the net proceeds from our IPO described in the final prospectus for our IPO filed on July 23, 2021 with the SEC pursuant to Rule 424(b)(4) of the Securities Act.</w:t>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1"/>
        <w:gridCol w:w="266"/>
        <w:gridCol w:w="267"/>
        <w:gridCol w:w="109"/>
        <w:gridCol w:w="109"/>
        <w:gridCol w:w="109"/>
        <w:gridCol w:w="2699"/>
        <w:gridCol w:w="2614"/>
        <w:gridCol w:w="3731"/>
      </w:tblGrid>
      <w:tr>
        <w:trPr/>
        <w:tc>
          <w:tcPr>
            <w:tcW w:w="3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14" w:after="283"/>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52" w:before="14"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Amended and Restated Certificate of Incorporation of Caribou Biosciences, Inc. (incorporated by reference to Exhibit 3.1 to the Current Report on Form 8-K filed by the Registrant with the SEC on July 28, 2021)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of Caribou Biosciences, Inc. (incorporated by reference to Exhibit 3.2 to the Current Report on Form 8-K filed by the Registrant with the SEC on July 28, 2021)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Description of Common Stock (incorporated by reference to Exhibit 4.1 to the Form 10-K filed by the Registrant on March 21, 2022)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30930xexx311.htm">
              <w:r>
                <w:rPr>
                  <w:rStyle w:val="InternetLink"/>
                  <w:rFonts w:ascii="Times New Roman;sans-serif" w:hAnsi="Times New Roman;sans-serif"/>
                  <w:b w:val="false"/>
                  <w:color w:val="0000FF"/>
                  <w:sz w:val="20"/>
                  <w:u w:val="single"/>
                </w:rPr>
                <w:t>Certification of Principal Executive Officer Pursuant to Rules 13a-14(a) and 15d-14(a) under the Exchange Act, as Adopted Pursuant to Section 302 of the Sarbanes-Oxley Act of 2002.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30930xexx312.htm">
              <w:r>
                <w:rPr>
                  <w:rStyle w:val="InternetLink"/>
                  <w:rFonts w:ascii="Times New Roman;sans-serif" w:hAnsi="Times New Roman;sans-serif"/>
                  <w:b w:val="false"/>
                  <w:color w:val="0000FF"/>
                  <w:sz w:val="20"/>
                  <w:u w:val="single"/>
                </w:rPr>
                <w:t>Certification of Principal Financial Officer Pursuant to Rules 13a-14(a) and 15d-14(a) under the Exchange Act, as Adopted Pursuant to Section 302 of the Sarbanes-Oxley Act of 2002.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30930x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30930x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c5135c9f3d9491389535023a9db9d2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464" w:type="dxa"/>
        <w:jc w:val="left"/>
        <w:tblInd w:w="0" w:type="dxa"/>
        <w:tblLayout w:type="fixed"/>
        <w:tblCellMar>
          <w:top w:w="28" w:type="dxa"/>
          <w:left w:w="28" w:type="dxa"/>
          <w:bottom w:w="28" w:type="dxa"/>
          <w:right w:w="28" w:type="dxa"/>
        </w:tblCellMar>
      </w:tblPr>
      <w:tblGrid>
        <w:gridCol w:w="759"/>
        <w:gridCol w:w="668"/>
        <w:gridCol w:w="672"/>
        <w:gridCol w:w="345"/>
        <w:gridCol w:w="345"/>
        <w:gridCol w:w="345"/>
        <w:gridCol w:w="969"/>
        <w:gridCol w:w="969"/>
        <w:gridCol w:w="139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Caribou Biosciences,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52" w:before="14"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103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ans-serif" w:hAnsi="Times New Roman;sans-serif"/>
                <w:b w:val="false"/>
                <w:color w:val="000000"/>
                <w:sz w:val="20"/>
              </w:rPr>
              <w:t>/s/ Rachel E. Haurwitz</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14" w:after="283"/>
              <w:jc w:val="center"/>
              <w:rPr>
                <w:rFonts w:ascii="Times New Roman;sans-serif" w:hAnsi="Times New Roman;sans-serif"/>
                <w:b/>
                <w:color w:val="000000"/>
                <w:sz w:val="20"/>
              </w:rPr>
            </w:pPr>
            <w:r>
              <w:rPr>
                <w:rFonts w:ascii="Times New Roman;sans-serif" w:hAnsi="Times New Roman;sans-serif"/>
                <w:b/>
                <w:color w:val="000000"/>
                <w:sz w:val="20"/>
              </w:rPr>
              <w:t>Rachel E. Haurwitz</w:t>
            </w:r>
          </w:p>
          <w:p>
            <w:pPr>
              <w:pStyle w:val="TableContents"/>
              <w:bidi w:val="0"/>
              <w:spacing w:lineRule="auto" w:line="252" w:before="14"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103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ans-serif" w:hAnsi="Times New Roman;sans-serif"/>
                <w:b w:val="false"/>
                <w:color w:val="000000"/>
                <w:sz w:val="20"/>
              </w:rPr>
              <w:t>/s/ Jason V. O'Byrne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Jason V. O’Byrne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52" w:before="14"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ableContents"/>
              <w:bidi w:val="0"/>
              <w:spacing w:lineRule="auto" w:line="252" w:before="1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Rachel E. Haurwitz,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September 30, 2023 of Caribou Biosciences,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3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73"/>
        <w:gridCol w:w="973"/>
        <w:gridCol w:w="138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Rachel E. Haurwitz</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Rachel E. Haurwitz</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Jason V. O’Byrne,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September 30, 2023 of Caribou Biosciences,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0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614"/>
        <w:gridCol w:w="614"/>
        <w:gridCol w:w="87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ans-serif" w:hAnsi="Times New Roman;sans-serif"/>
                <w:b w:val="false"/>
                <w:color w:val="000000"/>
                <w:sz w:val="20"/>
              </w:rPr>
              <w:t>/s/ Jason V. O’Byrne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Jason V. O’Byrne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Caribou Biosciences, Inc. (the “Company”) on Form 10-Q for the period ended September 30, 2023 as filed with the Securities and Exchange Commission on the date hereof (the “Report”), I certify, pursuant to 18 U.S.C. § 1350, as adopted pursuant to §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tbl>
      <w:tblPr>
        <w:tblW w:w="583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73"/>
        <w:gridCol w:w="973"/>
        <w:gridCol w:w="138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ans-serif" w:hAnsi="Times New Roman;sans-serif"/>
                <w:b w:val="false"/>
                <w:color w:val="000000"/>
                <w:sz w:val="20"/>
              </w:rPr>
              <w:t>/s/ Rachel E. Haurwitz</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Rachel E. Haurwitz</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Caribou Biosciences, Inc. (the “Company”) on Form 10-Q for the period ended September 30, 2023 as filed with the Securities and Exchange Commission on the date hereof (the “Report”), I certify, pursuant to 18 U.S.C. § 1350, as adopted pursuant to §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 of operations of the Company. </w:t>
      </w:r>
    </w:p>
    <w:tbl>
      <w:tblPr>
        <w:tblW w:w="460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614"/>
        <w:gridCol w:w="614"/>
        <w:gridCol w:w="87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V. O’Byrne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Jason V. O’Byrne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9856/000119312521227378/d189230dex31.htm" TargetMode="External"/><Relationship Id="rId3" Type="http://schemas.openxmlformats.org/officeDocument/2006/relationships/hyperlink" Target="https://www.sec.gov/Archives/edgar/data/1619856/000119312521227378/d189230dex32.htm" TargetMode="External"/><Relationship Id="rId4" Type="http://schemas.openxmlformats.org/officeDocument/2006/relationships/hyperlink" Target="https://www.sec.gov/Archives/edgar/data/1619856/000095017022004233/crbu-ex4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20736</Words>
  <Characters>117508</Characters>
  <CharactersWithSpaces>136892</CharactersWithSpaces>
  <Paragraphs>2361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