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5" w:lineRule="exact"/>
        <w:rPr>
          <w:sz w:val="24"/>
          <w:szCs w:val="24"/>
          <w:color w:val="auto"/>
        </w:rPr>
      </w:pPr>
    </w:p>
    <w:p>
      <w:pPr>
        <w:ind w:left="20"/>
        <w:spacing w:after="0"/>
        <w:tabs>
          <w:tab w:leader="none" w:pos="440" w:val="left"/>
        </w:tabs>
        <w:rPr>
          <w:sz w:val="20"/>
          <w:szCs w:val="20"/>
          <w:color w:val="auto"/>
        </w:rPr>
      </w:pPr>
      <w:r>
        <w:rPr>
          <w:rFonts w:ascii="Wingdings" w:cs="Wingdings" w:eastAsia="Wingdings" w:hAnsi="Wingdings"/>
          <w:sz w:val="14"/>
          <w:szCs w:val="14"/>
          <w:b w:val="1"/>
          <w:bCs w:val="1"/>
          <w:color w:val="auto"/>
          <w:highlight w:val="black"/>
        </w:rPr>
        <w:t>o</w:t>
      </w:r>
      <w:r>
        <w:rPr>
          <w:sz w:val="20"/>
          <w:szCs w:val="20"/>
          <w:color w:val="auto"/>
        </w:rPr>
        <w:tab/>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001-40631</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479"/>
        </w:trPr>
        <w:tc>
          <w:tcPr>
            <w:tcW w:w="3440" w:type="dxa"/>
            <w:vAlign w:val="bottom"/>
          </w:tcPr>
          <w:p>
            <w:pPr>
              <w:spacing w:after="0"/>
              <w:rPr>
                <w:sz w:val="24"/>
                <w:szCs w:val="24"/>
                <w:color w:val="auto"/>
              </w:rPr>
            </w:pPr>
          </w:p>
        </w:tc>
        <w:tc>
          <w:tcPr>
            <w:tcW w:w="4180" w:type="dxa"/>
            <w:vAlign w:val="bottom"/>
            <w:gridSpan w:val="5"/>
          </w:tcPr>
          <w:p>
            <w:pPr>
              <w:jc w:val="center"/>
              <w:ind w:left="68"/>
              <w:spacing w:after="0"/>
              <w:rPr>
                <w:sz w:val="20"/>
                <w:szCs w:val="20"/>
                <w:color w:val="auto"/>
              </w:rPr>
            </w:pPr>
            <w:r>
              <w:rPr>
                <w:rFonts w:ascii="Times New Roman" w:cs="Times New Roman" w:eastAsia="Times New Roman" w:hAnsi="Times New Roman"/>
                <w:sz w:val="36"/>
                <w:szCs w:val="36"/>
                <w:b w:val="1"/>
                <w:bCs w:val="1"/>
                <w:color w:val="auto"/>
                <w:w w:val="99"/>
              </w:rPr>
              <w:t>Caribou Biosciences, Inc.</w:t>
            </w:r>
          </w:p>
        </w:tc>
        <w:tc>
          <w:tcPr>
            <w:tcW w:w="3600" w:type="dxa"/>
            <w:vAlign w:val="bottom"/>
          </w:tcPr>
          <w:p>
            <w:pPr>
              <w:spacing w:after="0"/>
              <w:rPr>
                <w:sz w:val="24"/>
                <w:szCs w:val="24"/>
                <w:color w:val="auto"/>
              </w:rPr>
            </w:pPr>
          </w:p>
        </w:tc>
      </w:tr>
      <w:tr>
        <w:trPr>
          <w:trHeight w:val="236"/>
        </w:trPr>
        <w:tc>
          <w:tcPr>
            <w:tcW w:w="3440" w:type="dxa"/>
            <w:vAlign w:val="bottom"/>
          </w:tcPr>
          <w:p>
            <w:pPr>
              <w:spacing w:after="0"/>
              <w:rPr>
                <w:sz w:val="20"/>
                <w:szCs w:val="20"/>
                <w:color w:val="auto"/>
              </w:rPr>
            </w:pPr>
          </w:p>
        </w:tc>
        <w:tc>
          <w:tcPr>
            <w:tcW w:w="7780" w:type="dxa"/>
            <w:vAlign w:val="bottom"/>
            <w:gridSpan w:val="6"/>
          </w:tcPr>
          <w:p>
            <w:pPr>
              <w:jc w:val="center"/>
              <w:ind w:right="332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34"/>
        </w:trPr>
        <w:tc>
          <w:tcPr>
            <w:tcW w:w="3440" w:type="dxa"/>
            <w:vAlign w:val="bottom"/>
          </w:tcPr>
          <w:p>
            <w:pPr>
              <w:spacing w:after="0"/>
              <w:rPr>
                <w:sz w:val="20"/>
                <w:szCs w:val="20"/>
                <w:color w:val="auto"/>
              </w:rPr>
            </w:pPr>
          </w:p>
        </w:tc>
        <w:tc>
          <w:tcPr>
            <w:tcW w:w="4180" w:type="dxa"/>
            <w:vAlign w:val="bottom"/>
            <w:gridSpan w:val="5"/>
          </w:tcPr>
          <w:p>
            <w:pPr>
              <w:jc w:val="center"/>
              <w:ind w:left="88"/>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3600" w:type="dxa"/>
            <w:vAlign w:val="bottom"/>
          </w:tcPr>
          <w:p>
            <w:pPr>
              <w:spacing w:after="0"/>
              <w:rPr>
                <w:sz w:val="20"/>
                <w:szCs w:val="20"/>
                <w:color w:val="auto"/>
              </w:rPr>
            </w:pPr>
          </w:p>
        </w:tc>
      </w:tr>
      <w:tr>
        <w:trPr>
          <w:trHeight w:val="311"/>
        </w:trPr>
        <w:tc>
          <w:tcPr>
            <w:tcW w:w="3440" w:type="dxa"/>
            <w:vAlign w:val="bottom"/>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jc w:val="right"/>
              <w:ind w:right="1747"/>
              <w:spacing w:after="0"/>
              <w:rPr>
                <w:sz w:val="20"/>
                <w:szCs w:val="20"/>
                <w:color w:val="auto"/>
              </w:rPr>
            </w:pPr>
            <w:r>
              <w:rPr>
                <w:rFonts w:ascii="Times New Roman" w:cs="Times New Roman" w:eastAsia="Times New Roman" w:hAnsi="Times New Roman"/>
                <w:sz w:val="18"/>
                <w:szCs w:val="18"/>
                <w:b w:val="1"/>
                <w:bCs w:val="1"/>
                <w:color w:val="auto"/>
              </w:rPr>
              <w:t>45-3728228</w:t>
            </w:r>
          </w:p>
        </w:tc>
      </w:tr>
      <w:tr>
        <w:trPr>
          <w:trHeight w:val="169"/>
        </w:trPr>
        <w:tc>
          <w:tcPr>
            <w:tcW w:w="3440" w:type="dxa"/>
            <w:vAlign w:val="bottom"/>
          </w:tcPr>
          <w:p>
            <w:pPr>
              <w:jc w:val="center"/>
              <w:ind w:left="1003"/>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0" w:type="dxa"/>
            <w:vAlign w:val="bottom"/>
          </w:tcPr>
          <w:p>
            <w:pPr>
              <w:jc w:val="center"/>
              <w:ind w:right="82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440" w:type="dxa"/>
            <w:vAlign w:val="bottom"/>
          </w:tcPr>
          <w:p>
            <w:pPr>
              <w:jc w:val="center"/>
              <w:ind w:left="104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0" w:type="dxa"/>
            <w:vAlign w:val="bottom"/>
          </w:tcPr>
          <w:p>
            <w:pPr>
              <w:jc w:val="center"/>
              <w:ind w:right="82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8"/>
        </w:trPr>
        <w:tc>
          <w:tcPr>
            <w:tcW w:w="3440" w:type="dxa"/>
            <w:vAlign w:val="bottom"/>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rPr>
              <w:t>2929 7th Street, Suite 105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2"/>
        </w:trPr>
        <w:tc>
          <w:tcPr>
            <w:tcW w:w="3440" w:type="dxa"/>
            <w:vAlign w:val="bottom"/>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w w:val="99"/>
              </w:rPr>
              <w:t>Berkeley, California</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0" w:type="dxa"/>
            <w:vAlign w:val="bottom"/>
          </w:tcPr>
          <w:p>
            <w:pPr>
              <w:jc w:val="right"/>
              <w:ind w:right="1947"/>
              <w:spacing w:after="0"/>
              <w:rPr>
                <w:sz w:val="20"/>
                <w:szCs w:val="20"/>
                <w:color w:val="auto"/>
              </w:rPr>
            </w:pPr>
            <w:r>
              <w:rPr>
                <w:rFonts w:ascii="Times New Roman" w:cs="Times New Roman" w:eastAsia="Times New Roman" w:hAnsi="Times New Roman"/>
                <w:sz w:val="18"/>
                <w:szCs w:val="18"/>
                <w:b w:val="1"/>
                <w:bCs w:val="1"/>
                <w:color w:val="auto"/>
              </w:rPr>
              <w:t>94710</w:t>
            </w:r>
          </w:p>
        </w:tc>
      </w:tr>
      <w:tr>
        <w:trPr>
          <w:trHeight w:val="186"/>
        </w:trPr>
        <w:tc>
          <w:tcPr>
            <w:tcW w:w="3440" w:type="dxa"/>
            <w:vAlign w:val="bottom"/>
          </w:tcPr>
          <w:p>
            <w:pPr>
              <w:jc w:val="center"/>
              <w:ind w:left="104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0" w:type="dxa"/>
            <w:vAlign w:val="bottom"/>
          </w:tcPr>
          <w:p>
            <w:pPr>
              <w:jc w:val="center"/>
              <w:ind w:right="82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76"/>
        </w:trPr>
        <w:tc>
          <w:tcPr>
            <w:tcW w:w="112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982-6030</w:t>
            </w:r>
          </w:p>
        </w:tc>
      </w:tr>
      <w:tr>
        <w:trPr>
          <w:trHeight w:val="234"/>
        </w:trPr>
        <w:tc>
          <w:tcPr>
            <w:tcW w:w="3440" w:type="dxa"/>
            <w:vAlign w:val="bottom"/>
          </w:tcPr>
          <w:p>
            <w:pPr>
              <w:spacing w:after="0"/>
              <w:rPr>
                <w:sz w:val="20"/>
                <w:szCs w:val="20"/>
                <w:color w:val="auto"/>
              </w:rPr>
            </w:pPr>
          </w:p>
        </w:tc>
        <w:tc>
          <w:tcPr>
            <w:tcW w:w="4180" w:type="dxa"/>
            <w:vAlign w:val="bottom"/>
            <w:gridSpan w:val="5"/>
          </w:tcPr>
          <w:p>
            <w:pPr>
              <w:jc w:val="center"/>
              <w:ind w:left="88"/>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3600" w:type="dxa"/>
            <w:vAlign w:val="bottom"/>
          </w:tcPr>
          <w:p>
            <w:pPr>
              <w:spacing w:after="0"/>
              <w:rPr>
                <w:sz w:val="20"/>
                <w:szCs w:val="20"/>
                <w:color w:val="auto"/>
              </w:rPr>
            </w:pPr>
          </w:p>
        </w:tc>
      </w:tr>
      <w:tr>
        <w:trPr>
          <w:trHeight w:val="250"/>
        </w:trPr>
        <w:tc>
          <w:tcPr>
            <w:tcW w:w="7620" w:type="dxa"/>
            <w:vAlign w:val="bottom"/>
            <w:gridSpan w:val="6"/>
          </w:tcPr>
          <w:p>
            <w:pPr>
              <w:ind w:left="6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21"/>
                <w:szCs w:val="21"/>
                <w:color w:val="auto"/>
              </w:rPr>
            </w:pPr>
          </w:p>
        </w:tc>
      </w:tr>
      <w:tr>
        <w:trPr>
          <w:trHeight w:val="271"/>
        </w:trPr>
        <w:tc>
          <w:tcPr>
            <w:tcW w:w="34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jc w:val="center"/>
              <w:ind w:right="72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color w:val="auto"/>
              </w:rPr>
              <w:t>CRBU</w:t>
            </w:r>
          </w:p>
        </w:tc>
        <w:tc>
          <w:tcPr>
            <w:tcW w:w="3600" w:type="dxa"/>
            <w:vAlign w:val="bottom"/>
          </w:tcPr>
          <w:p>
            <w:pPr>
              <w:jc w:val="center"/>
              <w:ind w:right="727"/>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45" w:lineRule="exact"/>
        <w:rPr>
          <w:sz w:val="24"/>
          <w:szCs w:val="24"/>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100" w:firstLine="648"/>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680"/>
              <w:spacing w:after="0"/>
              <w:rPr>
                <w:sz w:val="20"/>
                <w:szCs w:val="20"/>
                <w:color w:val="auto"/>
              </w:rPr>
            </w:pPr>
            <w:r>
              <w:rPr>
                <w:rFonts w:ascii="Wingdings" w:cs="Wingdings" w:eastAsia="Wingdings" w:hAnsi="Wingdings"/>
                <w:sz w:val="16"/>
                <w:szCs w:val="16"/>
                <w:b w:val="1"/>
                <w:bCs w:val="1"/>
                <w:color w:val="auto"/>
              </w:rPr>
              <w:t>o</w:t>
            </w:r>
          </w:p>
        </w:tc>
        <w:tc>
          <w:tcPr>
            <w:tcW w:w="472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rPr>
                <w:sz w:val="20"/>
                <w:szCs w:val="20"/>
                <w:color w:val="auto"/>
              </w:rPr>
            </w:pPr>
            <w:r>
              <w:rPr>
                <w:rFonts w:ascii="Wingdings" w:cs="Wingdings" w:eastAsia="Wingdings" w:hAnsi="Wingdings"/>
                <w:sz w:val="16"/>
                <w:szCs w:val="16"/>
                <w:b w:val="1"/>
                <w:bCs w:val="1"/>
                <w:color w:val="auto"/>
                <w:w w:val="97"/>
              </w:rPr>
              <w:t>o</w:t>
            </w: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680"/>
              <w:spacing w:after="0"/>
              <w:rPr>
                <w:sz w:val="20"/>
                <w:szCs w:val="20"/>
                <w:color w:val="auto"/>
              </w:rPr>
            </w:pPr>
            <w:r>
              <w:rPr>
                <w:rFonts w:ascii="Wingdings" w:cs="Wingdings" w:eastAsia="Wingdings" w:hAnsi="Wingdings"/>
                <w:sz w:val="16"/>
                <w:szCs w:val="16"/>
                <w:b w:val="1"/>
                <w:bCs w:val="1"/>
                <w:color w:val="auto"/>
              </w:rPr>
              <w:t>x</w:t>
            </w:r>
          </w:p>
        </w:tc>
        <w:tc>
          <w:tcPr>
            <w:tcW w:w="472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rPr>
                <w:sz w:val="20"/>
                <w:szCs w:val="20"/>
                <w:color w:val="auto"/>
              </w:rPr>
            </w:pPr>
            <w:r>
              <w:rPr>
                <w:rFonts w:ascii="Wingdings" w:cs="Wingdings" w:eastAsia="Wingdings" w:hAnsi="Wingdings"/>
                <w:sz w:val="16"/>
                <w:szCs w:val="16"/>
                <w:b w:val="1"/>
                <w:bCs w:val="1"/>
                <w:color w:val="auto"/>
                <w:w w:val="82"/>
              </w:rPr>
              <w:t>x</w:t>
            </w:r>
          </w:p>
        </w:tc>
      </w:tr>
      <w:tr>
        <w:trPr>
          <w:trHeight w:val="230"/>
        </w:trPr>
        <w:tc>
          <w:tcPr>
            <w:tcW w:w="21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72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rPr>
                <w:sz w:val="20"/>
                <w:szCs w:val="20"/>
                <w:color w:val="auto"/>
              </w:rPr>
            </w:pPr>
            <w:r>
              <w:rPr>
                <w:rFonts w:ascii="Wingdings" w:cs="Wingdings" w:eastAsia="Wingdings" w:hAnsi="Wingdings"/>
                <w:sz w:val="16"/>
                <w:szCs w:val="16"/>
                <w:b w:val="1"/>
                <w:bCs w:val="1"/>
                <w:color w:val="auto"/>
                <w:w w:val="82"/>
              </w:rPr>
              <w:t>x</w:t>
            </w:r>
          </w:p>
        </w:tc>
      </w:tr>
    </w:tbl>
    <w:p>
      <w:pPr>
        <w:spacing w:after="0" w:line="154" w:lineRule="exact"/>
        <w:rPr>
          <w:sz w:val="24"/>
          <w:szCs w:val="24"/>
          <w:color w:val="auto"/>
        </w:rPr>
      </w:pPr>
    </w:p>
    <w:p>
      <w:pPr>
        <w:ind w:right="4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 w:lineRule="exact"/>
        <w:rPr>
          <w:sz w:val="24"/>
          <w:szCs w:val="24"/>
          <w:color w:val="auto"/>
        </w:rPr>
      </w:pPr>
    </w:p>
    <w:p>
      <w:pPr>
        <w:ind w:left="660" w:right="2320"/>
        <w:spacing w:after="0" w:line="3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May 2, 2024, the registrant had 90,317,771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FINANCIAL INFORMATION</w:t>
            </w:r>
          </w:p>
        </w:tc>
        <w:tc>
          <w:tcPr>
            <w:tcW w:w="6780" w:type="dxa"/>
            <w:vAlign w:val="bottom"/>
            <w:gridSpan w:val="10"/>
          </w:tcPr>
          <w:p>
            <w:pPr>
              <w:spacing w:after="0"/>
              <w:rPr>
                <w:sz w:val="15"/>
                <w:szCs w:val="15"/>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620" w:type="dxa"/>
            <w:vAlign w:val="bottom"/>
            <w:gridSpan w:val="9"/>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520" w:type="dxa"/>
            <w:vAlign w:val="bottom"/>
            <w:gridSpan w:val="3"/>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0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80" w:type="dxa"/>
            <w:vAlign w:val="bottom"/>
            <w:gridSpan w:val="6"/>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vMerge w:val="continue"/>
          </w:tcPr>
          <w:p>
            <w:pPr>
              <w:spacing w:after="0"/>
              <w:rPr>
                <w:sz w:val="19"/>
                <w:szCs w:val="19"/>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60" w:type="dxa"/>
            <w:vAlign w:val="bottom"/>
            <w:gridSpan w:val="11"/>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720" w:type="dxa"/>
            <w:vAlign w:val="bottom"/>
            <w:gridSpan w:val="13"/>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1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40" w:type="dxa"/>
            <w:vAlign w:val="bottom"/>
            <w:gridSpan w:val="14"/>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CARIBOU BIOSCIENCES, INC. AND ITS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51,162</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277,665</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4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338,841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43,577</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22,182</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406,825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432,209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 ($2,487 and $2,487 from related party, respectively)</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r>
      <w:tr>
        <w:trPr>
          <w:trHeight w:val="24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 ($3,108 and $3,730 from related party, respectively)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MSKCC success payments liability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63,808</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184"/>
        </w:trPr>
        <w:tc>
          <w:tcPr>
            <w:tcW w:w="81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Common stock, par value $0.0001 per share, 300,000,000 shares authorized at March 31, 2024, and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81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December 31, 2023, respectively; 90,314,501 and 88,448,948 shares issued and outstanding as of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667,648</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(299,285)</w:t>
            </w:r>
          </w:p>
        </w:tc>
      </w:tr>
      <w:tr>
        <w:trPr>
          <w:trHeight w:val="232"/>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343,289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368,401</w:t>
            </w: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CARIBOU BIOSCIENCES,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and collaboration revenue (including $622 and $0, from a related party, respectively)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0" w:type="dxa"/>
            <w:vAlign w:val="bottom"/>
          </w:tcPr>
          <w:p>
            <w:pPr>
              <w:spacing w:after="0"/>
              <w:rPr>
                <w:sz w:val="1"/>
                <w:szCs w:val="1"/>
                <w:color w:val="auto"/>
              </w:rPr>
            </w:pPr>
          </w:p>
        </w:tc>
      </w:tr>
      <w:tr>
        <w:trPr>
          <w:trHeight w:val="24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securities</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the MSKCC success payments liability</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4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unrealized (loss) gain on available-for-sale marketable securities, net of tax</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89,302,937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61,186,514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CARIBOU BIOSCIENCES,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4440" w:type="dxa"/>
            <w:vAlign w:val="bottom"/>
          </w:tcPr>
          <w:p>
            <w:pPr>
              <w:spacing w:after="0"/>
              <w:rPr>
                <w:sz w:val="15"/>
                <w:szCs w:val="15"/>
                <w:color w:val="auto"/>
              </w:rPr>
            </w:pPr>
          </w:p>
        </w:tc>
        <w:tc>
          <w:tcPr>
            <w:tcW w:w="170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0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8"/>
        </w:trPr>
        <w:tc>
          <w:tcPr>
            <w:tcW w:w="444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tcPr>
          <w:p>
            <w:pPr>
              <w:jc w:val="center"/>
              <w:ind w:right="280"/>
              <w:spacing w:after="0" w:line="61" w:lineRule="exact"/>
              <w:rPr>
                <w:sz w:val="20"/>
                <w:szCs w:val="20"/>
                <w:color w:val="auto"/>
              </w:rPr>
            </w:pPr>
            <w:r>
              <w:rPr>
                <w:rFonts w:ascii="Times New Roman" w:cs="Times New Roman" w:eastAsia="Times New Roman" w:hAnsi="Times New Roman"/>
                <w:sz w:val="7"/>
                <w:szCs w:val="7"/>
                <w:b w:val="1"/>
                <w:bCs w:val="1"/>
                <w:color w:val="auto"/>
              </w:rPr>
              <w:t>In</w:t>
            </w:r>
          </w:p>
        </w:tc>
        <w:tc>
          <w:tcPr>
            <w:tcW w:w="100" w:type="dxa"/>
            <w:vAlign w:val="bottom"/>
          </w:tcPr>
          <w:p>
            <w:pPr>
              <w:spacing w:after="0"/>
              <w:rPr>
                <w:sz w:val="5"/>
                <w:szCs w:val="5"/>
                <w:color w:val="auto"/>
              </w:rPr>
            </w:pPr>
          </w:p>
        </w:tc>
        <w:tc>
          <w:tcPr>
            <w:tcW w:w="124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Income</w:t>
            </w:r>
          </w:p>
        </w:tc>
        <w:tc>
          <w:tcPr>
            <w:tcW w:w="140" w:type="dxa"/>
            <w:vAlign w:val="bottom"/>
          </w:tcPr>
          <w:p>
            <w:pPr>
              <w:spacing w:after="0"/>
              <w:rPr>
                <w:sz w:val="5"/>
                <w:szCs w:val="5"/>
                <w:color w:val="auto"/>
              </w:rPr>
            </w:pPr>
          </w:p>
        </w:tc>
        <w:tc>
          <w:tcPr>
            <w:tcW w:w="1100" w:type="dxa"/>
            <w:vAlign w:val="bottom"/>
            <w:gridSpan w:val="2"/>
          </w:tcPr>
          <w:p>
            <w:pPr>
              <w:ind w:left="6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140" w:type="dxa"/>
            <w:vAlign w:val="bottom"/>
            <w:gridSpan w:val="2"/>
          </w:tcPr>
          <w:p>
            <w:pPr>
              <w:jc w:val="right"/>
              <w:spacing w:after="0" w:line="61" w:lineRule="exact"/>
              <w:rPr>
                <w:sz w:val="20"/>
                <w:szCs w:val="20"/>
                <w:color w:val="auto"/>
              </w:rPr>
            </w:pPr>
            <w:r>
              <w:rPr>
                <w:rFonts w:ascii="Times New Roman" w:cs="Times New Roman" w:eastAsia="Times New Roman" w:hAnsi="Times New Roman"/>
                <w:sz w:val="7"/>
                <w:szCs w:val="7"/>
                <w:b w:val="1"/>
                <w:bCs w:val="1"/>
                <w:color w:val="auto"/>
              </w:rPr>
              <w:t>Total Stockholders’</w:t>
            </w:r>
          </w:p>
        </w:tc>
      </w:tr>
      <w:tr>
        <w:trPr>
          <w:trHeight w:val="167"/>
        </w:trPr>
        <w:tc>
          <w:tcPr>
            <w:tcW w:w="444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4"/>
                <w:szCs w:val="14"/>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29"/>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88,448,948</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667,648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(299,285)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368,401</w:t>
            </w:r>
          </w:p>
        </w:tc>
      </w:tr>
      <w:tr>
        <w:trPr>
          <w:trHeight w:val="164"/>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upon employee 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122,035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25"/>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on exercise of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134,347</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r>
      <w:tr>
        <w:trPr>
          <w:trHeight w:val="122"/>
        </w:trPr>
        <w:tc>
          <w:tcPr>
            <w:tcW w:w="44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common stock in connection with our at-the-market equity offering</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73"/>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program, net of offering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1,594,171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11,330</w:t>
            </w: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on RSU release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w:t>
            </w:r>
          </w:p>
        </w:tc>
      </w:tr>
      <w:tr>
        <w:trPr>
          <w:trHeight w:val="25"/>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(41,234)</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(41,234)</w:t>
            </w:r>
          </w:p>
        </w:tc>
      </w:tr>
      <w:tr>
        <w:trPr>
          <w:trHeight w:val="164"/>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r>
      <w:tr>
        <w:trPr>
          <w:trHeight w:val="25"/>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BALANCE—March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90,314,501</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684,121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(340,519)</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343,289</w:t>
            </w:r>
          </w:p>
        </w:tc>
      </w:tr>
      <w:tr>
        <w:trPr>
          <w:trHeight w:val="270"/>
        </w:trPr>
        <w:tc>
          <w:tcPr>
            <w:tcW w:w="4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6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BALANCE—December 31, 2022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61,029,184</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499,598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(197,215)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300,871</w:t>
            </w:r>
          </w:p>
        </w:tc>
      </w:tr>
      <w:tr>
        <w:trPr>
          <w:trHeight w:val="164"/>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 under employee 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70,271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r>
      <w:tr>
        <w:trPr>
          <w:trHeight w:val="25"/>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on exercise of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55,433</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21"/>
        </w:trPr>
        <w:tc>
          <w:tcPr>
            <w:tcW w:w="44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common stock in connection with our at-the-market equity offering</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73"/>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program, net of offering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168,635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r>
      <w:tr>
        <w:trPr>
          <w:trHeight w:val="29"/>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9"/>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w:t>
            </w:r>
          </w:p>
        </w:tc>
      </w:tr>
      <w:tr>
        <w:trPr>
          <w:trHeight w:val="164"/>
        </w:trPr>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(28,044)</w:t>
            </w:r>
          </w:p>
        </w:tc>
      </w:tr>
      <w:tr>
        <w:trPr>
          <w:trHeight w:val="25"/>
        </w:trPr>
        <w:tc>
          <w:tcPr>
            <w:tcW w:w="4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r>
      <w:tr>
        <w:trPr>
          <w:trHeight w:val="15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BALANCE—March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61,323,523</w:t>
            </w:r>
          </w:p>
        </w:tc>
        <w:tc>
          <w:tcPr>
            <w:tcW w:w="80" w:type="dxa"/>
            <w:vAlign w:val="bottom"/>
          </w:tcPr>
          <w:p>
            <w:pPr>
              <w:spacing w:after="0"/>
              <w:rPr>
                <w:sz w:val="13"/>
                <w:szCs w:val="13"/>
                <w:color w:val="auto"/>
              </w:rPr>
            </w:pPr>
          </w:p>
        </w:tc>
        <w:tc>
          <w:tcPr>
            <w:tcW w:w="70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504,255</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(225,259)</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278,272</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CARIBOU BIOSCIENCES, INC. AND ITS SUBSIDIARIES</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92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1"/>
        </w:trPr>
        <w:tc>
          <w:tcPr>
            <w:tcW w:w="78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8"/>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(28,044)</w:t>
            </w:r>
          </w:p>
        </w:tc>
      </w:tr>
      <w:tr>
        <w:trPr>
          <w:trHeight w:val="208"/>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20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disposal of fixed assets</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equity securities</w:t>
            </w:r>
          </w:p>
        </w:tc>
        <w:tc>
          <w:tcPr>
            <w:tcW w:w="8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MSKCC success payments liability</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7"/>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Accretion of discounts on investments in marketable securities, net</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207"/>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Non-cash lease expense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98"/>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Contract assets</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r>
      <w:tr>
        <w:trPr>
          <w:trHeight w:val="207"/>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receivables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r>
      <w:tr>
        <w:trPr>
          <w:trHeight w:val="207"/>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207"/>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 current and long-term</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20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91"/>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(37,203)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(27,939)</w:t>
            </w:r>
          </w:p>
        </w:tc>
      </w:tr>
      <w:tr>
        <w:trPr>
          <w:trHeight w:val="18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98,665</w:t>
            </w:r>
          </w:p>
        </w:tc>
      </w:tr>
      <w:tr>
        <w:trPr>
          <w:trHeight w:val="20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(75,931)</w:t>
            </w: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20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to acquire in-process research and development</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20,703</w:t>
            </w:r>
          </w:p>
        </w:tc>
      </w:tr>
      <w:tr>
        <w:trPr>
          <w:trHeight w:val="18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8"/>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0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purchases of common stock under employee stock purchase plan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Proceeds from issuance of common stock related to our at-the-market equity offering program, net of offering expenses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201"/>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w:t>
            </w: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58,384</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52,790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52,744</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ON THE BALANCE SHEET</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52,790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5"/>
        </w:trPr>
        <w:tc>
          <w:tcPr>
            <w:tcW w:w="78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08"/>
        </w:trPr>
        <w:tc>
          <w:tcPr>
            <w:tcW w:w="7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Offering costs included in accrued expenses</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bl>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CARIBOU BIOSCIENCES, INC. AND ITS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Organization,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Organization</w:t>
      </w:r>
    </w:p>
    <w:p>
      <w:pPr>
        <w:spacing w:after="0" w:line="18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Caribou Biosciences, Inc. (“Company” or “we”) is a clinical-stage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lustered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egularly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nterspaced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hort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 xml:space="preserve">alindromic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epeats (“CRISPR”) genome-editing biopharmaceutical company dedicated to developing transformative therapies for patients with devastating diseases. Our genome-editing platform, including our novel chRDNA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RISPR </w:t>
      </w:r>
      <w:r>
        <w:rPr>
          <w:rFonts w:ascii="Times New Roman" w:cs="Times New Roman" w:eastAsia="Times New Roman" w:hAnsi="Times New Roman"/>
          <w:sz w:val="18"/>
          <w:szCs w:val="18"/>
          <w:b w:val="1"/>
          <w:bCs w:val="1"/>
          <w:u w:val="single" w:color="auto"/>
          <w:color w:val="auto"/>
        </w:rPr>
        <w:t>h</w:t>
      </w:r>
      <w:r>
        <w:rPr>
          <w:rFonts w:ascii="Times New Roman" w:cs="Times New Roman" w:eastAsia="Times New Roman" w:hAnsi="Times New Roman"/>
          <w:sz w:val="18"/>
          <w:szCs w:val="18"/>
          <w:color w:val="auto"/>
        </w:rPr>
        <w:t xml:space="preserve">ybrid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u w:val="single" w:color="auto"/>
          <w:color w:val="auto"/>
        </w:rPr>
        <w:t>DNA</w:t>
      </w:r>
      <w:r>
        <w:rPr>
          <w:rFonts w:ascii="Times New Roman" w:cs="Times New Roman" w:eastAsia="Times New Roman" w:hAnsi="Times New Roman"/>
          <w:sz w:val="18"/>
          <w:szCs w:val="18"/>
          <w:color w:val="auto"/>
        </w:rPr>
        <w:t>, or “chRDNA,” pronounced “chardonnay”) technology, enables more precise genome editing to develop cell therapies that are armored to improve activity against diseases. We are advancing a pipeline of allogeneic, or off-the-shelf, cell therapies from our chimeric antigen receptor (“CAR”) T (“CAR-T”) cell and CAR-natural killer (“CAR-NK”) cell platforms as readily available therapeutic treatments for patients.</w:t>
      </w:r>
    </w:p>
    <w:p>
      <w:pPr>
        <w:spacing w:after="0" w:line="159"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We incorporated in October 2011 as a Delaware corporation and are headquartered in Berkeley, California. We have four wholly owned subsidiaries: Antler Holdco, LLC, incorporated in Delaware in April 2019; Microbe Holdco, LLC, incorporated in Delaware in June 2020; Arboreal Holdco, LLC, incorporated in Delaware in November 2020; and Biloba Holdco, LLC, incorporated in Delaware in April 2021. Our wholly owned subsidiaries hold interests in our equity investments and do not have operating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and negative cash flows from operations since our inception and we had an accumulated deficit of $340.5 million as of March 31, 2024. During the three months ended March 31, 2024, we incurred a net loss of $41.2 million and used $37.2 million of cash in operating activities. We expect to continue to incur substantial losses, and our ability to achieve and sustain profitability will depend on the successful development, regulatory approval, and commercialization of our product candidates and on our ability to generate sufficient revenue to support our cost structure. We may never achieve profitability and, unless and until we do, we will need to continue to raise additional capital. Our management expects that existing cash, cash equivalents, and marketable securities of $345.9 million as of March 31, 2024, will be sufficient to fund our current operating plan for at least the next 12 months from the date of issuance of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significant accounting policies disclosed in Note 2 to the annual consolidated financial statements for the year ended December 31, 2023, included in our Annual Report on Form 10-K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0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accounting principles generally accepted in the United States (“U.S. GAAP”) and include our accounts and the accounts of our wholly owned subsidiaries. All intercompany accounts and transactions are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our management to make estimates and assumptions that affect the reported amounts of assets and liabilities; the disclosure of contingent assets and liabilities at the date of our unaudited condensed consolidated financial statements; and the reported amounts of revenue, income, and expenses during the applicable reporting period. On an ongoing basis, we evaluate our estimates and assumptions, including those related to revenue recognition, stock-based compensation expense, accrued expenses related to research and development activities, valuation of the Memorial Sloan Kettering Cancer Center (“MSKCC”) success payments liability, operating lease right-of-use assets and liabilities, and income taxes. Our management bases its estimates on historical experience and various other assumptions that they believe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0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operate and manage our business as one reportable operating segment, which is the business of developing a pipeline of allogeneic CAR-T and CAR-NK cell therapies. Our president and chief executive officer, who is the chief operating decision maker, reviews financial information on an aggregate basis for allocating resources and evaluating financial performance. All long-lived assets are maintained in the United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Uncertainties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of cash and cash equivalents, accounts receivable, contract assets, other receivables, and investments in marketable securities and equity securities. Substantially all of our cash and cash equivalents are deposited in accounts at four financial institutions, and our account balances exceed federally insured limits. We mitigate the risks by investing in high-grade instruments, limiting our exposure to one issuer, and we monitor the ongoing creditworthiness of the financial institutions and issuers.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Licensees that represent 10% or more of our revenue and accounts receivable and contract assets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900" w:type="dxa"/>
            <w:vAlign w:val="bottom"/>
            <w:gridSpan w:val="3"/>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Accounts Receivable and</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200" w:type="dxa"/>
            <w:vAlign w:val="bottom"/>
            <w:gridSpan w:val="4"/>
            <w:vMerge w:val="restart"/>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2"/>
                <w:szCs w:val="12"/>
                <w:color w:val="auto"/>
              </w:rPr>
            </w:pPr>
          </w:p>
        </w:tc>
        <w:tc>
          <w:tcPr>
            <w:tcW w:w="96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32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40" w:type="dxa"/>
            <w:vAlign w:val="bottom"/>
            <w:gridSpan w:val="3"/>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96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7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Licensee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Licensee B</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4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Licensee C</w:t>
            </w:r>
          </w:p>
        </w:tc>
        <w:tc>
          <w:tcPr>
            <w:tcW w:w="1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Licensee 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10%</w:t>
      </w:r>
    </w:p>
    <w:p>
      <w:pPr>
        <w:spacing w:after="0" w:line="18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monitor economic conditions to identify facts or circumstances that may indicate if any of our accounts receivable are not collectible or if contract assets should be impaired. No allowance for credit losses or contract asset impairment was recorded as of March 31, 2024, or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Disclosure Improvements: Codification Amendments in Response to the SEC’s Disclosure Update and Simplification Initiative. This ASU aligns the requirements in the Accounting Standards Codification (“ASC”) to the removal of certain disclosure requirements set out in Regulation S-X and Regulation S-K, announced by the U.S. Securities and Exchange Commission (“SEC”). The effective date for each amended topic in the ASC is either the date on which the SEC’s removal of the related disclosure requirement from Regulation S-X or Regulation S-K becomes effective or June 30, 2027, if the SEC has not removed the requirements by that date. Early adoption is prohibited. We are currently evaluating the impact of the new guidance and do not expect that the adoption of ASU 2023-06 will have a material impact on our consolidated financial statements.</w:t>
      </w:r>
    </w:p>
    <w:p>
      <w:pPr>
        <w:spacing w:after="0" w:line="14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We are currently evaluating the impact of the adoption of ASU 2023-07.</w:t>
      </w:r>
    </w:p>
    <w:p>
      <w:pPr>
        <w:spacing w:after="0" w:line="160"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We are currently evaluating the impact of the adoption of ASU 2023-09.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No. 2024-01, Compensation - Stock Compensation (Topic 718): Scope Application of Profits Interest and Similar Awards. The amendments in ASU 2024-01 improve consistent application of and simplify U.S. GAAP of Topic 718 by clarifying and amending existing guidance. ASU 2024-01 is effective for fiscal years beginning after December 15, 2024, and for interim periods within those annual periods, with early adoption permitted. We are currently evaluating the impact of the adoption of ASU 2024-01.</w:t>
      </w:r>
    </w:p>
    <w:p>
      <w:pPr>
        <w:spacing w:after="0" w:line="1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No. 2024-02, Codification Improvements - Amendments to Remove References to the Concepts Statements. The amendments in ASU 2024-02 clarify and simplify references to certain concept statements within U.S. GAAP. ASU 2024-02 is effective for fiscal years beginning after December 15, 2024, with early application permitted. We are currently evaluating the impact of the adoption of ASU 2024-02.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 and Fair Value of Financial Instruments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authoritative guidance on fair value measurements establishes a three-tier fair value hierarchy for disclosure of fair value measurements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0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entireties based on the lowest level of input that is significant to the fair value measurement. Our assessment of the significance of a particular input to the fair value measurement in its entirety requires our management to make judgments and consider factors specific to the asset or liability.</w:t>
      </w:r>
    </w:p>
    <w:p>
      <w:pPr>
        <w:spacing w:after="0" w:line="13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financial instruments consist of Level 1, Level 2, and Level 3 financial instruments. We generally classify our marketable securities as Level 1 or Level 2. Instruments are classified as Level 2 when observable market prices for identical securities that are traded in less active markets are used. When observable market prices for identical securities are not available, such instruments are priced using benchmark curves, benchmarking of like securities, sector groupings, matrix pricing, and valuation models. These valuation models are proprietary to the pricing providers or brokers and incorporate a number of inputs including, in approximate order of priority: benchmark yields, reported trades, broker/dealer quotes, issuer spreads, two-sided markets, benchmark securities, bids, offers, and reference data including market research publications. For certain security types, additional inputs may be used, or some of the standard inputs may not be applicable. Evaluators may prioritize inputs differently on any given day for any security based on market conditions, and not all inputs listed are available for use in the evaluation process for each security valuation on any given day.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 No such transfers occurred during the three months ended March 31, 2024, and 2023. Level 1 financial instruments are comprised of money market fund investments and U.S. Treasury bills. Level 2 financial instruments are comprised of commercial paper, corporate debt securities, and U.S. government agency bonds. Financial assets and liabilities are considered Level 3 when their fair values are determined using pricing models, discounted cash flow methodologies, or similar techniques, and at least one significant model assumption or input is unobservable. Level 3 financial instruments consist of the MSKCC success payments liability.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instruments that were measured at fair value on a recurring basis by level within the fair value hierarchy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2024</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U.S. Treasury bills ($13,904 included in cash and cash</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239,369</w:t>
            </w:r>
          </w:p>
        </w:tc>
        <w:tc>
          <w:tcPr>
            <w:tcW w:w="40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239,369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 ($23,858 included in cash and cash equivalents)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Money market fund investments (included in cash and cash</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345,926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MSKCC success payments liability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5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U.S. Treasury bills ($23,527 included in cash and cash</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262,439</w:t>
            </w:r>
          </w:p>
        </w:tc>
        <w:tc>
          <w:tcPr>
            <w:tcW w:w="40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paper ($9,759 included in cash and cash equivalents)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50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Money market fund investments (included in cash and cash</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372,404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MSKCC success payments liability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cash equivalents and available-for-sale marketable securities by major security type as of March 31, 2024, and December 31, 2023 are presented in the following tables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U.S. Treasury bills ($13,904 included in cash and cash</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239,369</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 ($23,858 included in cash and cash equivalents)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 investments (included in cash equivalents)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0" w:type="dxa"/>
            <w:vAlign w:val="bottom"/>
          </w:tcPr>
          <w:p>
            <w:pPr>
              <w:spacing w:after="0"/>
              <w:rPr>
                <w:sz w:val="1"/>
                <w:szCs w:val="1"/>
                <w:color w:val="auto"/>
              </w:rPr>
            </w:pP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346,249</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as: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244,588</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51,938</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0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5040" w:type="dxa"/>
            <w:vAlign w:val="bottom"/>
            <w:tcBorders>
              <w:top w:val="single" w:sz="8" w:color="CCEEFF"/>
            </w:tcBorders>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U.S. Treasury bills ($23,527 included in cash and cash</w:t>
            </w: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262,439</w:t>
            </w: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 ($9,759 included in cash and cash equivalents)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40,373</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40,185</w:t>
            </w: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 investments (included in cash equivalents)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0" w:type="dxa"/>
            <w:vAlign w:val="bottom"/>
          </w:tcPr>
          <w:p>
            <w:pPr>
              <w:spacing w:after="0"/>
              <w:rPr>
                <w:sz w:val="1"/>
                <w:szCs w:val="1"/>
                <w:color w:val="auto"/>
              </w:rPr>
            </w:pPr>
          </w:p>
        </w:tc>
      </w:tr>
      <w:tr>
        <w:trPr>
          <w:trHeight w:val="232"/>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372,374</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372,404</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Classified as: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51,162</w:t>
            </w: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w:t>
            </w:r>
          </w:p>
        </w:tc>
        <w:tc>
          <w:tcPr>
            <w:tcW w:w="0" w:type="dxa"/>
            <w:vAlign w:val="bottom"/>
          </w:tcPr>
          <w:p>
            <w:pPr>
              <w:spacing w:after="0"/>
              <w:rPr>
                <w:sz w:val="1"/>
                <w:szCs w:val="1"/>
                <w:color w:val="auto"/>
              </w:rPr>
            </w:pPr>
          </w:p>
        </w:tc>
      </w:tr>
      <w:tr>
        <w:trPr>
          <w:trHeight w:val="232"/>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372,404</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available-for-sale marketable securities by contractual maturities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244,588</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51,938</w:t>
            </w:r>
          </w:p>
        </w:tc>
      </w:tr>
      <w:tr>
        <w:trPr>
          <w:trHeight w:val="26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our Level 3 financial liability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MSKCC Success</w:t>
            </w:r>
          </w:p>
        </w:tc>
      </w:tr>
      <w:tr>
        <w:trPr>
          <w:trHeight w:val="148"/>
        </w:trPr>
        <w:tc>
          <w:tcPr>
            <w:tcW w:w="9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3"/>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3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6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648"/>
        <w:spacing w:after="0" w:line="314" w:lineRule="auto"/>
        <w:rPr>
          <w:sz w:val="20"/>
          <w:szCs w:val="20"/>
          <w:color w:val="auto"/>
        </w:rPr>
      </w:pPr>
      <w:r>
        <w:rPr>
          <w:rFonts w:ascii="Times New Roman" w:cs="Times New Roman" w:eastAsia="Times New Roman" w:hAnsi="Times New Roman"/>
          <w:sz w:val="17"/>
          <w:szCs w:val="17"/>
          <w:color w:val="auto"/>
        </w:rPr>
        <w:t>Our liability for the MSKCC success payments is carried at fair value and changes are recognized as expense or income as part of other income (expense) until the success payments liability is paid or expires. We recorded a $0.3 million and $0.3 million change in the fair value of the MSKCC</w:t>
      </w:r>
    </w:p>
    <w:p>
      <w:pPr>
        <w:spacing w:after="0" w:line="1"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success payments liability as a gain in other income (expense) in our unaudited condensed consolidated statements of operations and comprehensive loss for the three months ended March 31, 2024, and 2023,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key assumptions used in the valuation of the MSKCC success payments liability: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37"/>
        </w:trPr>
        <w:tc>
          <w:tcPr>
            <w:tcW w:w="9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97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Probability of achieving multiple of Initial Share Price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to 18.1%</w:t>
            </w:r>
          </w:p>
        </w:tc>
      </w:tr>
      <w:tr>
        <w:trPr>
          <w:trHeight w:val="24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to 5.2</w:t>
            </w:r>
          </w:p>
        </w:tc>
      </w:tr>
    </w:tbl>
    <w:p>
      <w:pPr>
        <w:spacing w:after="0" w:line="63" w:lineRule="exact"/>
        <w:rPr>
          <w:sz w:val="20"/>
          <w:szCs w:val="20"/>
          <w:color w:val="auto"/>
        </w:rPr>
      </w:pPr>
    </w:p>
    <w:p>
      <w:pPr>
        <w:jc w:val="both"/>
        <w:ind w:right="22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MSKCC is entitled to certain success payments if our common stock fair value increases, during a specified time period, by certain multiples of value based on a comparison of the fair market value of our common stock to $5.1914 per share, adjusted for any future stock splits (“Initial Share Price”). For further information regarding our agreement with MSKCC, see Note 4 to the consolidated financial statements included in our Form 10-K.</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computation of expected volatility was estimated using a combination of available information about the historical volatility of stocks of similar publicly traded companies for a period matching the expected term assumption and the historical and implied volatility of our stock. The risk-free interest rate, expected volatility, and expected term assumptions depend on the time period from the initiation of our AMpLify phase 1 clinical trial for our CB-012 product candidate utilizing the know-how, biological materials, and intellectual property licensed under the Exclusive License Agreement, dated November 13, 2020, with MSKCC (“MSKCC Agreement”) until the estimated timing of marketing approval for this product candidate from the U.S. Food and Drug Administration (“FDA”). In addition, we incorporated the estimated number and timing of valuation measurement dates in the calculation of the MSKCC success payments liability.</w:t>
      </w:r>
    </w:p>
    <w:p>
      <w:pPr>
        <w:spacing w:after="0" w:line="14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did not note any significant changes to the inputs used in the MSKCC success payments liability fair value calculation, other than a change in the fair value of our common stock to $5.14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Agreements</w:t>
      </w:r>
    </w:p>
    <w:p>
      <w:pPr>
        <w:spacing w:after="0" w:line="20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Since December 31, 2023, there have been no material changes to the key terms of our significant agreements. For further information regarding our significant agreements, see Note 4 to the consolidated financial statements included in our Form 10-K.</w:t>
      </w:r>
    </w:p>
    <w:p>
      <w:pPr>
        <w:spacing w:after="0" w:line="12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we recognized $1.6 million in revenue associated with the now-terminated Collaboration and License Agreement, dated February 9, 2021 (as amended, “AbbVie Agreement”) with AbbVie Manufacturing Management Unlimited Company (“AbbVie”). No revenue was recognized under the AbbVie Agreement during the three months ended March 31, 2024, as the AbbVie Agreement was terminated effective October 25,</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2023. As of March 31, 2024, and December 31, 2023, we had no amounts recorded in accounts receivable, contract assets, or deferred revenue in our consolidated balance sheets related to the AbbVie Agreement.</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significant agreements may include nonrefundable, upfront payments; annual license maintenance fees; sublicensing fees; obligations to reimburse for patent prosecution and maintenance fees; success payments; regulatory clinical and commercial milestones; and royalty payments. Our obligation to make such payments is contingent upon milestones being achieved, licensed products being commercialized, and the agreements remaining in effect.</w:t>
      </w:r>
    </w:p>
    <w:p>
      <w:pPr>
        <w:spacing w:after="0" w:line="139"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$1.3 million and $0.4 million, respectively, as research and development expense in our unaudited condensed consolidated statements of operations and comprehensive loss related to our significant agreements. For the three months ended March 31, 2024, and 2023, we recorded $0.2 million and $0.8 million, respectively, as general and administrative expense for patent prosecution and maintenance costs in our unaudited condensed consolidated statements of operations and comprehensive loss, which includes reimbursements of patent prosecution and maintenance costs of $0.1 million and $0.4 million, respectively.</w:t>
      </w:r>
    </w:p>
    <w:p>
      <w:pPr>
        <w:spacing w:after="0" w:line="14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certain license and assignment agreements included potential future payments from us for development, regulatory, and sales milestones totaling approximately $160.2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disaggregate revenue by geographical market based on the location of research and development activities of our licensees and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by geographic location for the three months ended March 31, 2024, and 2023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2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recognized $1.8 million of revenue related to performance obligations satisfied at a point in time, and we recognized $0.6 million of revenue related to performance obligations satisfied over time.</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recognized $1.9 million of revenue related to performance obligations satisfied at a point in time, and we recognized $1.6 million of revenue related to performance obligations satisfied over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relate to our right to consideration for performance obligations completed (or partially completed) for which we have an unconditional right to consideration. Our accounts receivable balances represent amounts that we billed to our licensees with invoices outstanding as of the end of a reporting period.</w:t>
      </w:r>
    </w:p>
    <w:p>
      <w:pPr>
        <w:spacing w:after="0" w:line="13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rights to consideration in exchange for a license that we have granted to a licensee when the right is conditional on something other than the passage of time. Our contract asset balances represent royalties and milestone payments from our other license agreements that are unbilled as of the end of a reporting period.</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consist of deferred revenue and relate to amounts invoiced to, or advance consideration received from, licensees that precede our satisfaction of the associated performance obligations. As of March 31, 2024, and December 31, 2023, our deferred revenue balance primarily resulted from the upfront payment received relating to our performance obligation to Pfizer Inc. (“Pfizer”). The remaining deferred revenue relates to upfront payments received under license agreements that also include nonrefundable annual license fees, which are accounted for as material rights for license renewals and are recognized at the point in time when annual license fees are paid by the licensees and the renewal periods begin.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changes in our contract assets and liabilities during the three months ended March 31, 2024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37"/>
        </w:trPr>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8"/>
                <w:szCs w:val="18"/>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6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1"/>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1"/>
        </w:trPr>
        <w:tc>
          <w:tcPr>
            <w:tcW w:w="5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8"/>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80" w:firstLine="648"/>
        <w:spacing w:after="0" w:line="282" w:lineRule="auto"/>
        <w:rPr>
          <w:sz w:val="20"/>
          <w:szCs w:val="20"/>
          <w:color w:val="auto"/>
        </w:rPr>
      </w:pPr>
      <w:r>
        <w:rPr>
          <w:rFonts w:ascii="Times New Roman" w:cs="Times New Roman" w:eastAsia="Times New Roman" w:hAnsi="Times New Roman"/>
          <w:sz w:val="18"/>
          <w:szCs w:val="18"/>
          <w:color w:val="auto"/>
        </w:rPr>
        <w:t>Unbilled accounts receivable decreased $0.5 million during the three months ended March 31, 2024, primarily due to the decrease in minimum annual royalties under our license agreements.</w:t>
      </w:r>
    </w:p>
    <w:p>
      <w:pPr>
        <w:spacing w:after="0" w:line="12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Deferred revenue decreased during the three months ended March 31, 2024, primarily due to the recognition of deferred revenue related to the satisfaction of our performance obligation to Pfizer. See Note 7 to our unaudited condensed consolidated financial statements included elsewhere in this Form 10-Q for additional information.</w:t>
      </w:r>
    </w:p>
    <w:p>
      <w:pPr>
        <w:spacing w:after="0" w:line="13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we recognized $0.7 million and $1.1 million of revenue, respectively, which was included in the opening contract liabilities balances at the beginning of the respective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Prices Allocated to Remaining Performance Obligations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March 31, 2024, was approximately $8.3 million. We expect to recognize approximately $2.8 million of remaining performance obligations as revenue in the next 12 months and to recognize the remainder thereafter.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Contract Acquisition Costs and Fulfillment Costs</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did not incur any expenses to obtain our existing contracts, and costs to fulfill those contracts do not generate or enhance our resources. As such, no costs to obtain or fulfill a contract have been capitalized in any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receivables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 cost reimbursements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marketable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4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contract manufacturing and clinical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4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related to property and equipment were $0.7 million and $0.6 million, for the three months ended March 31, 2024, and 2023,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related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litigation settlement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patent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related to sublicensing revenues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liability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21,135</w:t>
            </w: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Since December 31, 2023, there have been no new related party transactions, except as set forth below. For further information regarding our related parties, see Note 7 to the consolidated financial statements included in our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Investment</w:t>
      </w:r>
    </w:p>
    <w:p>
      <w:pPr>
        <w:spacing w:after="0" w:line="20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we recognized $0.6 million of revenue from our Information Rights Agreement with Pfizer, dated June 29, 2023, pursuant to which we had originally allocated $7.5 million as a contract with a customer under ASC Topic 606. We did not recognize any revenue from Pfizer during the three months ended March 31, 2023. As of March 31, 2024, there was approximately $5.6 million of related party deferred revenue ($2.5 million included in current liabilities and $3.1 million included in long-term liabilities) related to our performance obligation to Pfizer. As of December 31, 2023, there was approximately $6.2 million of related party deferred revenue ($2.5 million included in current liabilities and $3.7 million included in long-term liabilities) related to our performance obligation to Pfizer.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we had operating leases for our laboratory and office space in Berkeley, California, consisting of approximately 75,000 square feet, with remaining lease terms up to 8.3 years. Certain of our laboratory and office space lease agreements include options to extend the terms for a period of five years and also contain provisions for future rent increases. In addition to base rent, we pay our share of operating expenses and taxes.</w:t>
      </w:r>
    </w:p>
    <w:p>
      <w:pPr>
        <w:spacing w:after="0" w:line="13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costs, which are included in our unaudited condensed consolidated statements of operations and comprehensive loss,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241"/>
        </w:trPr>
        <w:tc>
          <w:tcPr>
            <w:tcW w:w="818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Included $0.7 million and $0.6 million of variable lease cost related to operating expenses and taxes for the three months ended March 31, 2024, and</w:t>
      </w:r>
    </w:p>
    <w:p>
      <w:pPr>
        <w:spacing w:after="0"/>
        <w:rPr>
          <w:sz w:val="20"/>
          <w:szCs w:val="20"/>
          <w:color w:val="auto"/>
        </w:rPr>
      </w:pPr>
      <w:r>
        <w:rPr>
          <w:rFonts w:ascii="Times New Roman" w:cs="Times New Roman" w:eastAsia="Times New Roman" w:hAnsi="Times New Roman"/>
          <w:sz w:val="18"/>
          <w:szCs w:val="18"/>
          <w:color w:val="auto"/>
        </w:rPr>
        <w:t>2023, respectively.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our leases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2"/>
        </w:trPr>
        <w:tc>
          <w:tcPr>
            <w:tcW w:w="8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bl>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weighted-average discount rate for our corporate laboratory and office leases: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3"/>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8"/>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bl>
    <w:p>
      <w:pPr>
        <w:spacing w:after="0" w:line="200" w:lineRule="exact"/>
        <w:rPr>
          <w:sz w:val="20"/>
          <w:szCs w:val="20"/>
          <w:color w:val="auto"/>
        </w:rPr>
      </w:pPr>
    </w:p>
    <w:p>
      <w:pPr>
        <w:sectPr>
          <w:pgSz w:w="11900" w:h="16838" w:orient="portrait"/>
          <w:cols w:equalWidth="0" w:num="2">
            <w:col w:w="7220" w:space="720"/>
            <w:col w:w="3300"/>
          </w:cols>
          <w:pgMar w:left="320" w:top="121" w:right="339" w:bottom="1440" w:gutter="0" w:footer="0" w:header="0"/>
          <w:type w:val="continuous"/>
        </w:sectPr>
      </w:pPr>
    </w:p>
    <w:p>
      <w:pPr>
        <w:spacing w:after="0" w:line="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 maturity analysis of our operating lease liabilities showing the aggregate lease payments as of March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3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3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15,993</w:t>
            </w:r>
          </w:p>
        </w:tc>
      </w:tr>
      <w:tr>
        <w:trPr>
          <w:trHeight w:val="241"/>
        </w:trPr>
        <w:tc>
          <w:tcPr>
            <w:tcW w:w="9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41,006</w:t>
            </w:r>
          </w:p>
        </w:tc>
      </w:tr>
      <w:tr>
        <w:trPr>
          <w:trHeight w:val="23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(13,847)</w:t>
            </w:r>
          </w:p>
        </w:tc>
      </w:tr>
      <w:tr>
        <w:trPr>
          <w:trHeight w:val="241"/>
        </w:trPr>
        <w:tc>
          <w:tcPr>
            <w:tcW w:w="9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27,159</w:t>
            </w:r>
          </w:p>
        </w:tc>
      </w:tr>
      <w:tr>
        <w:trPr>
          <w:trHeight w:val="23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61"/>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portion of lease liability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Reflects an offset of $0.6 million related to incentives expected to be received in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Manufacturing, and License Agreements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various agreements in the ordinary course of business, such as those with contract manufacturing organizations (“CMOs”), suppliers, clinical research organizations (“CROs”), clinical trial sites, licensors, assignors, and the like. These agreements provide for termination by either party in certain circumstances, generally with less than one-year notice and are, therefore, cancellable contracts and, if cancelled, are not anticipated to have a material effect on our unaudited condensed consolidated financial condition, results of operations, or cash flows.</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Some of these agreements also include contingent payments that will become payable if and when certain development, regulatory, clinical, and/or commercial milestones are achieved by us. As of March 31, 2024, the satisfaction and timing of such contingent payments is uncertain and cannot be reasonably estimated.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that contain a variety of representations and warranties and provide for certain indemnifications by us. Our exposure under these agreements is unknown because claims may be made against us in the future. To date, we have not paid any claims or been required to defend any action related to our indemnification obligations. As of March 31, 2024, and December 31, 2023, we did not have any material indemnification claims that were probable or reasonably possible, and consequently, we have not recorded related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arising in the ordinary course of business. We record a liability for such litigation when it is probable that future losses will be incurred and if such losses can be reasonably estimated. Significant judgment by us is required to determine both probability and the estimated amount.</w:t>
      </w:r>
    </w:p>
    <w:p>
      <w:pPr>
        <w:spacing w:after="0" w:line="13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April 11, 2023, a putative class action lawsuit was filed in the U.S. District Court for the Northern District of California against our company and certain of our officers and current and former members of our board of directors, </w:t>
      </w:r>
      <w:r>
        <w:rPr>
          <w:rFonts w:ascii="Times New Roman" w:cs="Times New Roman" w:eastAsia="Times New Roman" w:hAnsi="Times New Roman"/>
          <w:sz w:val="18"/>
          <w:szCs w:val="18"/>
          <w:i w:val="1"/>
          <w:iCs w:val="1"/>
          <w:color w:val="auto"/>
        </w:rPr>
        <w:t>Bergman v. Caribou Biosciences, Inc., et al.</w:t>
      </w:r>
      <w:r>
        <w:rPr>
          <w:rFonts w:ascii="Times New Roman" w:cs="Times New Roman" w:eastAsia="Times New Roman" w:hAnsi="Times New Roman"/>
          <w:sz w:val="18"/>
          <w:szCs w:val="18"/>
          <w:color w:val="auto"/>
        </w:rPr>
        <w:t>, Case Number 4:23-cv-01742-YGR (“Bergman Case”). The Bergman complaint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of 1933, as amended (“Securities Act”) and Sections 10(b) and 20(a) of the Exchange Act. On September 18, 2023, plaintiffs filed an amended complaint adding the IPO underwriters as defendants and making substantially the same allegations as the original complaint. On November 14, 2023, we filed a motion to dismiss the amended complaint for failure to state a claim. Motion to dismiss briefing was completed on February 21, 2024. On April 22, 2024, we reached an agreement in principle with plaintiffs to settle the Bergman Case for $3.9 million, which is included in general and administrative expense for the three months ended March 31, 2024, in exchange for a full release of the putative class’s claims against us and all of our current and former officers, current and former members of our board of directors, the IPO underwriters, and the other named defendant. The parties are negotiating a settlement agreement, which the court must approve before settlement is final.</w:t>
      </w:r>
    </w:p>
    <w:p>
      <w:pPr>
        <w:spacing w:after="0" w:line="151" w:lineRule="exact"/>
        <w:rPr>
          <w:sz w:val="20"/>
          <w:szCs w:val="20"/>
          <w:color w:val="auto"/>
        </w:rPr>
      </w:pPr>
    </w:p>
    <w:p>
      <w:pPr>
        <w:ind w:right="280" w:firstLine="648"/>
        <w:spacing w:after="0" w:line="276" w:lineRule="auto"/>
        <w:rPr>
          <w:sz w:val="20"/>
          <w:szCs w:val="20"/>
          <w:color w:val="auto"/>
        </w:rPr>
      </w:pPr>
      <w:r>
        <w:rPr>
          <w:rFonts w:ascii="Times New Roman" w:cs="Times New Roman" w:eastAsia="Times New Roman" w:hAnsi="Times New Roman"/>
          <w:sz w:val="17"/>
          <w:szCs w:val="17"/>
          <w:color w:val="auto"/>
        </w:rPr>
        <w:t xml:space="preserve">On March 22, 2023, a putative class action lawsuit was filed in Superior Court of the State of California for the County of Alameda against our company and certain of our officers and current and former members of our board of directors, </w:t>
      </w:r>
      <w:r>
        <w:rPr>
          <w:rFonts w:ascii="Times New Roman" w:cs="Times New Roman" w:eastAsia="Times New Roman" w:hAnsi="Times New Roman"/>
          <w:sz w:val="17"/>
          <w:szCs w:val="17"/>
          <w:i w:val="1"/>
          <w:iCs w:val="1"/>
          <w:color w:val="auto"/>
        </w:rPr>
        <w:t>Lowry v. Caribou Biosciences, Inc., et al.,</w:t>
      </w:r>
      <w:r>
        <w:rPr>
          <w:rFonts w:ascii="Times New Roman" w:cs="Times New Roman" w:eastAsia="Times New Roman" w:hAnsi="Times New Roman"/>
          <w:sz w:val="17"/>
          <w:szCs w:val="17"/>
          <w:color w:val="auto"/>
        </w:rPr>
        <w:t xml:space="preserve"> Case Number</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T23-1084 (“Lowry Case”). The Lowry Case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The allegations and claims in the Lowry Case are substantially similar to the Securities Act claims asserted in the Bergman Case. On April 26, 2023, we filed a motion to stay the Lowry Case during the pendency of the parallel federal court litigation in the Bergman Case, and, on July 11, 2023, our motion to stay was denied. On September 11, 2023, plaintiff filed an amended complaint making substantially the same allegations as the original complaint. On November 9, 2023, we filed a motion to dismiss the amended complaint on the grounds that our certification of incorporation mandates that Securities Act claims against us be brought in federal court. On February 28, 2024, the court granted our motion to dismiss and, on April 15, 2024, the court entered an order of dismissal.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2"/>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12,094,332</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9,410,404</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6,565,993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5,952,012</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available under our employee stock purchase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2,278,809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1,516,355</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and performance-based restricted stock units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1,180,548</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205,357</w:t>
            </w:r>
          </w:p>
        </w:tc>
      </w:tr>
      <w:tr>
        <w:trPr>
          <w:trHeight w:val="261"/>
        </w:trPr>
        <w:tc>
          <w:tcPr>
            <w:tcW w:w="8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22,119,682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17,084,128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August 9, 2022, we filed a shelf registration statement on Form S-3 (“Shelf Registration Statement”) with the SEC. The Shelf Registration Statement allows us to sell from time to time up to $400.0 million of common stock, preferred stock, debt securities, warrants, rights, or units comprised of any combination of these securities, for our own account in one or more offerings (including the $100.0 million of common stock reserved for our at-the-market equity offering program). The SEC declared the Shelf Registration Statement effective on August 16, 2022. The terms of any offering under the Shelf Registration Statement are established at the time of such offering, as described in a prospectus supplement to the Shelf Registration Statement filed with the SEC prior to the completion of any such offering.</w:t>
      </w:r>
    </w:p>
    <w:p>
      <w:pPr>
        <w:spacing w:after="0" w:line="16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In July and August 2023, we issued and sold a total of 22,115,384 shares of our common stock in an underwritten follow-on public offering at a price to the public of $6.50 per share, which included the full exercise of the underwriters’ right to purchase 2,884,615 additional shares of our common stock. The total gross proceeds from the offering were approximately $143.7 million ($134.4 million net of underwriting discounts and commissions and offering expenses). The shares were issued pursuant to the Shelf Registration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18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7"/>
          <w:szCs w:val="17"/>
          <w:color w:val="auto"/>
        </w:rPr>
        <w:t>On August 9, 2022, we entered into an at-the-market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(“ATM Sales Agreement”) with Jefferies LLC (“Jefferies”), pursuant to which, through Jefferies as sales agent, we may from time to time, sell shares of our common stock having an aggregate offering price of up to $100.0 million in gross proceeds under the Shelf Registration Statement. As of March 31, 2024, we have sold 1,762,806 shares of our common stock under the ATM Sales Agreement, at an average price per share of $7.32 for aggregate gross proceeds of $12.9 million ($12.3 million net of offering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2021, our board of directors adopted and our stockholders approved the 2021 Equity Incentive Plan (“2021 Plan”) that became effective on July 22, 2021. As of March 31, 2024, we had 6,565,993 shares available for issuance under the 2021 Plan.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our equity incentive plans during the three months ended March 31, 2024:</w:t>
      </w:r>
    </w:p>
    <w:p>
      <w:pPr>
        <w:spacing w:after="0" w:line="224"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Weighted-</w:t>
      </w:r>
    </w:p>
    <w:p>
      <w:pPr>
        <w:jc w:val="center"/>
        <w:ind w:left="658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5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340" w:type="dxa"/>
            <w:vAlign w:val="bottom"/>
          </w:tcPr>
          <w:p>
            <w:pPr>
              <w:jc w:val="center"/>
              <w:ind w:right="5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 (in</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7"/>
                <w:szCs w:val="17"/>
                <w:color w:val="auto"/>
              </w:rPr>
            </w:pPr>
          </w:p>
        </w:tc>
        <w:tc>
          <w:tcPr>
            <w:tcW w:w="1340" w:type="dxa"/>
            <w:vAlign w:val="bottom"/>
          </w:tcPr>
          <w:p>
            <w:pPr>
              <w:jc w:val="center"/>
              <w:ind w:right="78"/>
              <w:spacing w:after="0" w:line="202" w:lineRule="exact"/>
              <w:rPr>
                <w:sz w:val="20"/>
                <w:szCs w:val="20"/>
                <w:color w:val="auto"/>
              </w:rPr>
            </w:pPr>
            <w:r>
              <w:rPr>
                <w:rFonts w:ascii="Times New Roman" w:cs="Times New Roman" w:eastAsia="Times New Roman" w:hAnsi="Times New Roman"/>
                <w:sz w:val="14"/>
                <w:szCs w:val="14"/>
                <w:b w:val="1"/>
                <w:bCs w:val="1"/>
                <w:color w:val="auto"/>
                <w:w w:val="98"/>
              </w:rPr>
              <w:t>thousands)</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9,410,404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32"/>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2,913,727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12,094,332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4,824,205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12,094,332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640"/>
        <w:spacing w:after="0" w:line="22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aggregate intrinsic value is calculated as the difference between the stock option exercise price and the estimated fair value of the underlying common stock at the end of each reporting period referenced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we granted 2,913,727 and 2,536,340 stock options to employees with a weighted average grant date fair value of $4.59 and $4.13, respectively.</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estimated the fair value of each employee stock option award on the grant date using the Black-Scholes option-pricing model based on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Pr>
          <w:p>
            <w:pPr>
              <w:spacing w:after="0"/>
              <w:rPr>
                <w:sz w:val="16"/>
                <w:szCs w:val="16"/>
                <w:color w:val="auto"/>
              </w:rPr>
            </w:pPr>
          </w:p>
        </w:tc>
        <w:tc>
          <w:tcPr>
            <w:tcW w:w="37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5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75.7% to 75.9%</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74.9% to 75.0%</w:t>
            </w: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5.0 to 6.0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to 6.0</w:t>
            </w:r>
          </w:p>
        </w:tc>
      </w:tr>
      <w:tr>
        <w:trPr>
          <w:trHeight w:val="24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4.0% to 4.3%</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to 4.1%</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82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0.0%</w:t>
            </w:r>
          </w:p>
        </w:tc>
      </w:tr>
    </w:tbl>
    <w:p>
      <w:pPr>
        <w:spacing w:after="0" w:line="26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there was $35.0 million of unrecognized stock-based compensation expense related to employee stock options that is expected to be recognized over a weighted-average period of 2.8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we granted 995,767 restricted stock units (“RSUs”) and did not grant any performance-based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(“PSUs”) under the 2021 Plan. A summary of the status of and change in unvested RSUs and PSUs as of March 31, 2024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RSUs and</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40" w:type="dxa"/>
            <w:vAlign w:val="bottom"/>
          </w:tcPr>
          <w:p>
            <w:pPr>
              <w:spacing w:after="0"/>
              <w:rPr>
                <w:sz w:val="16"/>
                <w:szCs w:val="16"/>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per RSU and PSU</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PSUs were granted to our executive officers and will vest contingent upon the achievement of a clinical milestone for CB-010 during a performance period ending December 31, 2024, and an executive officer’s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employment during the performance period. As of March 31, 2024, the achievement of this milestone was not considered probable and, therefore, no stock-based compensation was recorded.</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total unrecognized stock-based compensation expense related to unvested RSUs was $7.1 million, which is expected to be recognized over the remaining weighted-average vesting period of 3.4 years. As of March 31, 2024, there was approximately $0.6 million of unrecognized stock-based compensation expense related to unvested PSUs.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July 2021, our board of directors adopted and our stockholders approved the ESPP, which became effective on July 22, 2021. We have issued 329,602 shares of common stock under the ESPP as of March 31, 2024. We recorded $0.2 million in accrued liabilities related to contributions withheld as of March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recorded stock-based compensation expense related to employee equity-based awards grants in our unaudited condensed consolidated statements of operations and comprehensive loss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2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9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above stock-based compensation expense related to the following equity-based awards (in thousands):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3"/>
        </w:trPr>
        <w:tc>
          <w:tcPr>
            <w:tcW w:w="8180" w:type="dxa"/>
            <w:vAlign w:val="bottom"/>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2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5"/>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Savings Plan</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2017, we established a defined-contribution savings plan under Section 401(k) of the Internal Revenue Code of 1986, as amended (“Tax Code”). Our 401(k) plan is available to all employees and allows participants to defer a portion of their annual compensation on a pretax basis subject to applicable laws. We also provide a 4% match for employee contributions up to a certain limit. During the three months ended March 31, 2024, and 2023, we contributed $0.4 million and $0.3 million, respectively, to our 401(k)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 income tax expense was recorded during each of the three-month periods ended March 31, 2024, and 2023 due to our operating losses.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1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13335</wp:posOffset>
            </wp:positionV>
            <wp:extent cx="1929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9"/>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9"/>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used to compute net loss per share, basic and diluted</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89,302,937</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61,186,514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81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12,094,332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9,102,960</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1,128,191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236,169</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108,788</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w:t>
            </w:r>
          </w:p>
        </w:tc>
      </w:tr>
      <w:tr>
        <w:trPr>
          <w:trHeight w:val="237"/>
        </w:trPr>
        <w:tc>
          <w:tcPr>
            <w:tcW w:w="81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13,331,311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9,488,479</w:t>
            </w:r>
          </w:p>
        </w:tc>
      </w:tr>
      <w:tr>
        <w:trPr>
          <w:trHeight w:val="25"/>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On April 22, 2024, an agreement in principle was reached with the plaintiffs in the </w:t>
      </w:r>
      <w:r>
        <w:rPr>
          <w:rFonts w:ascii="Times New Roman" w:cs="Times New Roman" w:eastAsia="Times New Roman" w:hAnsi="Times New Roman"/>
          <w:sz w:val="18"/>
          <w:szCs w:val="18"/>
          <w:i w:val="1"/>
          <w:iCs w:val="1"/>
          <w:color w:val="auto"/>
        </w:rPr>
        <w:t>Bergman v. Caribou Biosciences, Inc., et al.</w:t>
      </w:r>
      <w:r>
        <w:rPr>
          <w:rFonts w:ascii="Times New Roman" w:cs="Times New Roman" w:eastAsia="Times New Roman" w:hAnsi="Times New Roman"/>
          <w:sz w:val="18"/>
          <w:szCs w:val="18"/>
          <w:color w:val="auto"/>
        </w:rPr>
        <w:t>, Case Number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4:23-cv-01742-YGR (“Bergman Case”) to settle the Bergman Case for $3.9 million. The parties are negotiating a settlement agreement, which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approve before settlement is final</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See Note 9 to our unaudited condensed consolidated financial statements included elsewhere in this Form 10-Q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the related notes included in Part I, Item 1, of this Quarterly Report on Form 10-Q for the fiscal quarter ended March 31, 2024 (“Form 10-Q”) and with the audited consolidated financial statements and the related notes for the fiscal year ended December 31, 2023 included in our Annual Report on Form 10-K (“Form 10-K”) filed with the U.S. Securities and Exchange Commission (“SEC”) on March 11,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This Form 10-Q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Form 10-Q are forward-looking statements, including statements regarding our business strategy, plans, and objectives; expectations regarding our clinical and preclinical development programs, including our expectations about the timing of such programs; the expected timing of</w:t>
      </w:r>
    </w:p>
    <w:p>
      <w:pPr>
        <w:spacing w:after="0" w:line="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i w:val="1"/>
          <w:iCs w:val="1"/>
          <w:color w:val="auto"/>
        </w:rPr>
        <w:t>disclosure of clinical data from such programs; the safety, efficacy, and potential advantages of our product candidates; future regulatory filings and interactions with regulatory authorities; our results of operations and financial position; and plans and objectives of management for future operations.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139"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i w:val="1"/>
          <w:iCs w:val="1"/>
          <w:color w:val="auto"/>
        </w:rPr>
        <w:t>As a result of many factors, including but not limited to risks related to our limited operating history, history of net operating losses, financial position and our ability to raise additional capital as needed to fund our operations and product candidate development; risks inherent in the development of cell therapy products; risks associated with the initiation, cost, timing, progress, and results of current and future research and development programs, preclinical studies, and clinical trials; the risk that initial, preliminary, or interim clinical trial data will not ultimately be predictive of the safety and efficacy of our product candidates or that clinical outcomes may differ as patient enrollment continues and as more clinical data becomes available or different conclusions or considerations are reached once additional data have been received and fully evaluated; the risk that preclinical study results will not be borne out in human patients; risks related to our ability to obtain and maintain regulatory approval for our product candidates; risks that our product candidates, if approved, may not gain market acceptance due to negative public opinion and increased regulatory scrutiny of cell therapies involving genome editing; risks related to our ability to meet future regulatory standards with respect to our products; risks related to our ability to establish and/or maintain intellectual property rights covering our product candidates and genome-editing technology; risks of third parties asserting that our product candidates infringe their patents; risks related to developments of our competitors and our industry; risks related to our reliance on third parties to conduct our clinical trials and manufacture our product candidates; risks caused by public health crises or geopolitical events on our business and operations; and other risks described in greater detail in the section of our Form 10-K titled “Risk Factors,” and in other filings we make with the SEC. The events and circumstances reflected in our forward-looking statements may not be achieved or may not occur, and actual results could differ materially from those described in or implied by the forward-looking statements. As a result of these risks, you should not place undue reliance on these forward-looking statements. We assume no obligation to revise or update any forward-looking statements for any reason, except as required by law.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18"/>
          <w:szCs w:val="18"/>
          <w:color w:val="auto"/>
        </w:rPr>
        <w:t xml:space="preserve">We are a clinical-stage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8"/>
          <w:szCs w:val="18"/>
          <w:color w:val="auto"/>
        </w:rPr>
        <w:t xml:space="preserve">lustered </w:t>
      </w: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8"/>
          <w:szCs w:val="18"/>
          <w:color w:val="auto"/>
        </w:rPr>
        <w:t xml:space="preserve">egularly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8"/>
          <w:szCs w:val="18"/>
          <w:color w:val="auto"/>
        </w:rPr>
        <w:t xml:space="preserve">nterspaced </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8"/>
          <w:szCs w:val="18"/>
          <w:color w:val="auto"/>
        </w:rPr>
        <w:t xml:space="preserve">hort </w:t>
      </w: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8"/>
          <w:szCs w:val="18"/>
          <w:color w:val="auto"/>
        </w:rPr>
        <w:t xml:space="preserve">alindromic </w:t>
      </w: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8"/>
          <w:szCs w:val="18"/>
          <w:color w:val="auto"/>
        </w:rPr>
        <w:t>epeats (“CRISPR”) genome-editing biopharmaceutical company dedicated to developing transformative therapies for patients with devastating diseases. Our genome-editing platform, including our novel chRDNA</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u w:val="single" w:color="auto"/>
          <w:color w:val="auto"/>
        </w:rPr>
        <w:t>C</w:t>
      </w:r>
      <w:r>
        <w:rPr>
          <w:rFonts w:ascii="Times New Roman" w:cs="Times New Roman" w:eastAsia="Times New Roman" w:hAnsi="Times New Roman"/>
          <w:sz w:val="18"/>
          <w:szCs w:val="18"/>
          <w:color w:val="auto"/>
        </w:rPr>
        <w:t xml:space="preserve">RISPR </w:t>
      </w:r>
      <w:r>
        <w:rPr>
          <w:rFonts w:ascii="Times New Roman" w:cs="Times New Roman" w:eastAsia="Times New Roman" w:hAnsi="Times New Roman"/>
          <w:sz w:val="21"/>
          <w:szCs w:val="21"/>
          <w:b w:val="1"/>
          <w:bCs w:val="1"/>
          <w:u w:val="single" w:color="auto"/>
          <w:color w:val="auto"/>
        </w:rPr>
        <w:t>h</w:t>
      </w:r>
      <w:r>
        <w:rPr>
          <w:rFonts w:ascii="Times New Roman" w:cs="Times New Roman" w:eastAsia="Times New Roman" w:hAnsi="Times New Roman"/>
          <w:sz w:val="18"/>
          <w:szCs w:val="18"/>
          <w:color w:val="auto"/>
        </w:rPr>
        <w:t xml:space="preserve">ybrid </w:t>
      </w:r>
      <w:r>
        <w:rPr>
          <w:rFonts w:ascii="Times New Roman" w:cs="Times New Roman" w:eastAsia="Times New Roman" w:hAnsi="Times New Roman"/>
          <w:sz w:val="21"/>
          <w:szCs w:val="21"/>
          <w:b w:val="1"/>
          <w:bCs w:val="1"/>
          <w:u w:val="single" w:color="auto"/>
          <w:color w:val="auto"/>
        </w:rPr>
        <w:t>R</w:t>
      </w:r>
      <w:r>
        <w:rPr>
          <w:rFonts w:ascii="Times New Roman" w:cs="Times New Roman" w:eastAsia="Times New Roman" w:hAnsi="Times New Roman"/>
          <w:sz w:val="18"/>
          <w:szCs w:val="18"/>
          <w:color w:val="auto"/>
        </w:rPr>
        <w:t>NA-</w:t>
      </w:r>
      <w:r>
        <w:rPr>
          <w:rFonts w:ascii="Times New Roman" w:cs="Times New Roman" w:eastAsia="Times New Roman" w:hAnsi="Times New Roman"/>
          <w:sz w:val="21"/>
          <w:szCs w:val="21"/>
          <w:b w:val="1"/>
          <w:bCs w:val="1"/>
          <w:u w:val="single" w:color="auto"/>
          <w:color w:val="auto"/>
        </w:rPr>
        <w:t>DNA</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18"/>
          <w:szCs w:val="18"/>
          <w:color w:val="auto"/>
        </w:rPr>
        <w:t xml:space="preserve"> or “chRDNA,” pronounced “chardonnay”) technology, enables more precise genome editing to develop cell therapies that are armored to improve activity against diseases. We are advancing a pipeline of allogeneic, or off-the-shelf, cell therapies from our chimeric antigen receptor (“CAR”) T (“CAR-T”) cell and CAR-natural killer (“CAR-NK”) cell platforms as readily available therapeutic treatments for patients.</w:t>
      </w:r>
    </w:p>
    <w:p>
      <w:pPr>
        <w:spacing w:after="0" w:line="14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focused on advancing our allogeneic cell therapies for the treatment of hematologic malignancies and autoimmune diseases. Our therapies are directed at established cell surface targets for which autologous CAR-T cell therapeutics have already demonstrated clinical proof of concept, including CD19 and B cell maturation antigen (“BCMA”), as well as targets such as C-type lectin-like molecule-1 (“CLL-1,” also known as CD371). We use our</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chRDNA technologies to armor our cell therapies through multiple genome-editing strategies, such as checkpoint disruption, immune cloaking, or a combination of these two strategies to enhance activity against devastating diseases.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lead product candidate, CB-010, is an allogeneic CAR-T cell therapy that is, to our knowledge, the first anti-CD19 allogeneic, or off-the-</w:t>
      </w:r>
    </w:p>
    <w:p>
      <w:pPr>
        <w:spacing w:after="0" w:line="24"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color w:val="auto"/>
        </w:rPr>
        <w:t>shelf, CAR-T cell therapy to be evaluated in patients with second-line relapsed or refractory large B cell lymphoma (“r/r LBCL”)</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To our knowledge, CB-010 is also the first clinical-stage allogeneic anti-CD19 CAR-T cell therapy with programmed cell death protein 1 (“PD-1”) removed from the CAR-T cell surface by a genome-edited knockout of the </w:t>
      </w:r>
      <w:r>
        <w:rPr>
          <w:rFonts w:ascii="Times New Roman" w:cs="Times New Roman" w:eastAsia="Times New Roman" w:hAnsi="Times New Roman"/>
          <w:sz w:val="18"/>
          <w:szCs w:val="18"/>
          <w:i w:val="1"/>
          <w:iCs w:val="1"/>
          <w:color w:val="auto"/>
        </w:rPr>
        <w:t>PDCD1</w:t>
      </w:r>
      <w:r>
        <w:rPr>
          <w:rFonts w:ascii="Times New Roman" w:cs="Times New Roman" w:eastAsia="Times New Roman" w:hAnsi="Times New Roman"/>
          <w:sz w:val="18"/>
          <w:szCs w:val="18"/>
          <w:color w:val="auto"/>
        </w:rPr>
        <w:t xml:space="preserve"> gene. CB-010 is being evaluated in our ongoing ANTLER phase 1 clinical trial. In the dose escalation portion of our ANTLER clinical trial, three dose levels of CB-010 were evaluated: dose level 1 (40x10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viable CAR-T cells, n=8), dose level 2 (80x10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viable CAR-T cells, n=5), and dose level 3 (120x10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viable CAR-T cells, n=3). CB-010 was generally well-tolerated with adverse events as expected for anti-CD19 CAR-T cell therapies. Based on these encouraging dose escalation data, we are evaluating CB-010 in adult second-line LBCL patients in the dose expansion portion of the ongoing ANTLER trial. Additionally, based on a retrospective analysis of the ANTLER data, we intend to investigate partial human leukocyte antigen matching and donor-specific antibody screening for CB-010 and our other CAR-T programs. An abstract on the ANTLER phase 1 clinical trial has been accepted for a poster presentation on June 3, 2024, at the 2024 American Society of Clinical Oncology (“ASCO”) Annual Meeting, and we plan to present initial dose expansion data, the recommended phase 2 dose (“RP2D”) in second-line LBCL patients, and emerging translational data. CB-010 has received regenerative medicine advanced therapy (“RMAT”) designation for r/r LBCL, fast track designation for relapsed or refractory B cell non-Hodgkin lymphoma (“r/r B-NHL”), and orphan drug designation for follicular lymphoma (“FL”) from the U.S. Food and Drug Administration (“FDA”).</w:t>
      </w:r>
    </w:p>
    <w:p>
      <w:pPr>
        <w:spacing w:after="0" w:line="211"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We are expanding our clinical development of CB-010 to include autoimmune diseases, and we recently received clearance of our investigational new drug (“IND”) application from the FDA for CB-010 to be evaluated in adult patients with lupus nephritis (“LN”) and extrarenal lupus (“ERL”) in our multicenter, open label, GALLOP phase 1 clinical trial, which we expect to initiate by year-end 2024.</w:t>
      </w:r>
    </w:p>
    <w:p>
      <w:pPr>
        <w:spacing w:after="0" w:line="204"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Our second product candidate, CB-011, is an allogeneic CAR-T cell therapy that is, to our knowledge, the first anti-BCMA CAR-T cell therapy incorporating an immune cloaking approach that includes both the removal of the endogenous beta-2 microglobulin (“B2M”) protein and insertion of a beta-2-microglobulin–human-leukocyte-antigen-E–peptide transgene (“B2M–HLA-E”). This strategy is designed to reduce CAR-T cell rejection by both patient T cells and natural killer (“NK”) cells to potentially enable more durable antitumor activity. CB-011 is being evaluated in our CaMMouflage phase 1 clinical trial in adult patients with relapsed or refractory multiple myeloma (“r/r MM”), and we are currently enrolling patients in the dose escalation portion of the CaMMouflage trial. CB-011 was granted fast track and orphan drug designations for r/r MM from the FDA.</w:t>
      </w:r>
    </w:p>
    <w:p>
      <w:pPr>
        <w:spacing w:after="0" w:line="21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third product candidate from our CAR-T cell platform is CB-012, an allogeneic CAR-T cell therapy targeting CLL-1 (also known as CD371). CB-012 is, to our knowledge, the first allogeneic CAR-T cell therapy with both checkpoint disruption and immune cloaking strategies. We believe that CLL-1 is an attractive target for acute myeloid leukemia (“AML”) due to its expression on myeloid cancer cells, its enrichment on leukemic stem cells, and its absence on hematopoietic stem cells (“HSCs”). CB-012 is being evaluated in our AMpLify phase 1 clinical trial in adult patients with relapsed or refractory AML (“r/r AML”), and we are currently enrolling patients in the dose escalation portion of the AMpLify trial.</w:t>
      </w:r>
    </w:p>
    <w:p>
      <w:pPr>
        <w:spacing w:after="0" w:line="15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Since our founding in 2011, we have devoted substantially all of our resources to organizing and staffing, business planning, raising capital, expanding our genome-editing platform technologies, developing our product candidates and building our pipeline, creating and maintaining our intellectual property portfolio, and establishing arrangements with third parties for the manufacture, testing, and clinical trial evaluations of our product candidates. We do not have any products approved for commercial sale and have not generated any revenue from product sales. We have incurred operating losses since commencement of our operations.</w:t>
      </w:r>
    </w:p>
    <w:p>
      <w:pPr>
        <w:spacing w:after="0" w:line="1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date, we have primarily funded our operations through proceeds from the sales of our capital stock, revenue from our license and collaboration agreements, and proceeds from the sale of shares of Intellia Therapeutics, Inc. (“Intellia”) common stock.</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net losses for the three months ended March 31, 2024, and 2023 were $41.2 million and $28.0 million, respectively. We had an accumulated deficit of $340.5 million as of March 31, 2024. Our net losses and operating losses may fluctuate from quarter to quarter and year to year depending primarily on the timing of expenses associated with our clinical trials and nonclinical studies and our other research and development expenses. We anticipate that our expenses will increase substantially as we:</w:t>
      </w:r>
    </w:p>
    <w:p>
      <w:pPr>
        <w:spacing w:after="0" w:line="72" w:lineRule="exact"/>
        <w:rPr>
          <w:sz w:val="20"/>
          <w:szCs w:val="20"/>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for our CAR-T cell therapy product candidates;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programs and our preclinical and clinical development of our other current product candidates and any other product candidates we identify and choose to develop;</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and scientific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genome-editing technologies;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technologies;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enforce, and defend our intellectual property portfolio;</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manufacturing capabilities and supply chain capacity for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financial, and management information systems and personnel;</w:t>
      </w:r>
    </w:p>
    <w:p>
      <w:pPr>
        <w:spacing w:after="0" w:line="117"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challenges, or other issues associated with any of the above, including the failure of clinical trials meeting endpoints, the generation of unanticipated preclinical results or clinical trial data subject to differing interpretations, or the occurrence of potential safety issues or other development or regulatory challenges;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in-license or assignment agreements;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obtain regulatory approval;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contract manufacturing organizations (“CMOs”) to individually manufacture, under current good manufacturing processes, our chRDNA guides, Cas9 and Cas12a proteins, plasmids, and adeno-associated virus serotype 6 (“AAV6”) vectors used in the manufacture of our cell therapy product candidates as well as the CAR-T and CAR-NK cell therapy product candidates themselves. We expect to continue to rely on our CMOs for the manufacturing of our preclinical study and clinical trial materials, and most of these CMOs have capabilities for commercial manufacturing. Additionally, we may decide to bring certain manufacturing functions in house and/or build our own manufacturing facility in the future to provide greater flexibility and control over our clinical and commercial manufacturing needs.</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we can generate significant revenue from product sales, if ever, we expect to finance our operations through equity offerings (including our at-the-market equity offering program), debt financings, collaborations and strategic alliances, licensing arrangements, or other sources. There are no assurances that we will be successful in obtaining an adequate level of financing to support our business plans as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Collaboration Revenue</w:t>
      </w:r>
    </w:p>
    <w:p>
      <w:pPr>
        <w:spacing w:after="0" w:line="20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to date and do not expect to generate any revenue from the sale of products in the foreseeable future. If our development efforts for our product candidates are successful and result in regulatory approval and commercialization, we may generate revenue in the future from product sales. We cannot predict if, when, or to what extent we will generate revenue from the commercialization and sale of our product candidates if we succeed in obtaining regulatory approval for these product candidates.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 date, all of our revenue consists of licensing and collaboration revenue earned from collaboration and/or licensing agreements entered into with third parties, including related parties. Under these agreements, we license rights to certain intellectual property controlled by us. The terms of these arrangements typically include payments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collaboration revenue. Revenue under such licensing and collaboration agreements was $2.4 million and $3.5 million for the three months ended March 31, 2024, and 2023, respectively. See Notes 4, 5, and 7 to our unaudited condensed consolidated financial statements included elsewhere in this Form 10-Q for additional information.</w:t>
      </w:r>
    </w:p>
    <w:p>
      <w:pPr>
        <w:spacing w:after="0" w:line="162"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related to our licensing and collaboration agreements, see Note 2 to the consolidated financial statements included in our Form 10-K.</w:t>
      </w:r>
    </w:p>
    <w:p>
      <w:pPr>
        <w:spacing w:after="0" w:line="121" w:lineRule="exact"/>
        <w:rPr>
          <w:sz w:val="20"/>
          <w:szCs w:val="20"/>
          <w:color w:val="auto"/>
        </w:rPr>
      </w:pPr>
    </w:p>
    <w:p>
      <w:pPr>
        <w:ind w:right="1040" w:firstLine="648"/>
        <w:spacing w:after="0" w:line="460" w:lineRule="auto"/>
        <w:rPr>
          <w:sz w:val="20"/>
          <w:szCs w:val="20"/>
          <w:color w:val="auto"/>
        </w:rPr>
      </w:pPr>
      <w:r>
        <w:rPr>
          <w:rFonts w:ascii="Times New Roman" w:cs="Times New Roman" w:eastAsia="Times New Roman" w:hAnsi="Times New Roman"/>
          <w:sz w:val="18"/>
          <w:szCs w:val="18"/>
          <w:color w:val="auto"/>
        </w:rPr>
        <w:t xml:space="preserve">For the foreseeable future, we expect substantially all of our revenue will be generated from licensing and collaboration agreements. </w:t>
      </w:r>
      <w:r>
        <w:rPr>
          <w:rFonts w:ascii="Times New Roman" w:cs="Times New Roman" w:eastAsia="Times New Roman" w:hAnsi="Times New Roman"/>
          <w:sz w:val="18"/>
          <w:szCs w:val="18"/>
          <w:b w:val="1"/>
          <w:bCs w:val="1"/>
          <w:i w:val="1"/>
          <w:iCs w:val="1"/>
          <w:color w:val="auto"/>
        </w:rPr>
        <w:t>Operating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of internal and external expenses incurred in connection with the development of our product candidates and our platform technologies, and our in-licensing, assignment, and other third-party agreements.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costs include:</w:t>
      </w:r>
    </w:p>
    <w:p>
      <w:pPr>
        <w:spacing w:after="0" w:line="117" w:lineRule="exact"/>
        <w:rPr>
          <w:sz w:val="20"/>
          <w:szCs w:val="20"/>
          <w:color w:val="auto"/>
        </w:rPr>
      </w:pPr>
    </w:p>
    <w:p>
      <w:pPr>
        <w:ind w:left="114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sublicensing revenues, and milestones;</w:t>
      </w:r>
    </w:p>
    <w:p>
      <w:pPr>
        <w:spacing w:after="0" w:line="53" w:lineRule="exact"/>
        <w:rPr>
          <w:rFonts w:ascii="Times New Roman" w:cs="Times New Roman" w:eastAsia="Times New Roman" w:hAnsi="Times New Roman"/>
          <w:sz w:val="18"/>
          <w:szCs w:val="18"/>
          <w:color w:val="auto"/>
        </w:rPr>
      </w:pPr>
    </w:p>
    <w:p>
      <w:pPr>
        <w:ind w:left="1140" w:right="2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preclinical and clinical development and manufacturing of our product candidates, including under agreements with CMOs, suppliers, clinical research organizations (“CROs”), and clinical sites; and</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costs, including laboratory materials and supplies, and consulting services.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costs include:</w:t>
      </w:r>
    </w:p>
    <w:p>
      <w:pPr>
        <w:spacing w:after="0" w:line="117" w:lineRule="exact"/>
        <w:rPr>
          <w:sz w:val="20"/>
          <w:szCs w:val="20"/>
          <w:color w:val="auto"/>
        </w:rPr>
      </w:pPr>
    </w:p>
    <w:p>
      <w:pPr>
        <w:ind w:left="1140" w:right="200" w:hanging="484"/>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benefits, and share-based compensation expense, for our research and development personnel; and</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other overhead expenses, including expenses for rent, facilities maintenance, and depreciation.</w:t>
      </w:r>
    </w:p>
    <w:p>
      <w:pPr>
        <w:spacing w:after="0" w:line="19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unaudited condensed consolidated balance sheets. The capitalized amounts are recognized as expenses as the goods are delivered or as related services are performed. We separately track certain external costs on a program-by-program basis; however, we do not track costs that are deployed across multiple programs.</w:t>
      </w:r>
    </w:p>
    <w:p>
      <w:pPr>
        <w:spacing w:after="0" w:line="14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product candidates through clinical trials and later stages of development; conduct preclinical studies and clinical trials for our other product candidates; seek regulatory approvals for any product candidates that successfully complete clinical trials; expand our research and development efforts and incur expenses associated with hiring additional personnel to support our research and development efforts; and seek to identify, in-license, acquire, and/or develop additional product candidates.</w:t>
      </w:r>
    </w:p>
    <w:p>
      <w:pPr>
        <w:spacing w:after="0" w:line="148"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CAR-T and CAR-NK product candidates, as well as other potential future product candidates, is highly uncertain. Accordingly, we cannot reasonably estimate or know the nature, timing, and costs of the efforts that will be necessary to complete the development of our product candidates. We are also unable to predict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if ever, we will generate revenue and material net cash inflows from the commercialization and sale of any of our product candidates for which we may obtain regulatory approval. We may never succeed in achieving regulatory approval for any of our product candidates. The duration, costs, and timing of preclinical studies, clinical trials, and development of our product candidates will depend on a variety of factors, including:</w:t>
      </w:r>
    </w:p>
    <w:p>
      <w:pPr>
        <w:spacing w:after="0" w:line="68" w:lineRule="exact"/>
        <w:rPr>
          <w:sz w:val="20"/>
          <w:szCs w:val="20"/>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CRISPR chRDNA genome-editing technology;</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differentiating features so that our products have a competitive edge;</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enforcement, and defense of our patents and other intellectual property rights;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not infringe, misappropriate, or otherwise violate third-party intellectual property rights;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IND applications to initiate clinical trials on new product candidates;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our clinical trials on our product candidates;</w:t>
      </w:r>
    </w:p>
    <w:p>
      <w:pPr>
        <w:spacing w:after="0" w:line="117" w:lineRule="exact"/>
        <w:rPr>
          <w:rFonts w:ascii="Times New Roman" w:cs="Times New Roman" w:eastAsia="Times New Roman" w:hAnsi="Times New Roman"/>
          <w:sz w:val="18"/>
          <w:szCs w:val="18"/>
          <w:color w:val="auto"/>
        </w:rPr>
      </w:pPr>
    </w:p>
    <w:p>
      <w:pPr>
        <w:ind w:left="1620" w:right="660" w:hanging="478"/>
        <w:spacing w:after="0" w:line="282" w:lineRule="auto"/>
        <w:tabs>
          <w:tab w:leader="none" w:pos="1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trials that support an acceptable risk-benefit profile of our product candidates for the intended patient populations and that demonstrate safety and efficacy;</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candidates or for the development of new product candidates;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process development and transfer to larger-scale facilities;</w:t>
      </w:r>
    </w:p>
    <w:p>
      <w:pPr>
        <w:spacing w:after="0" w:line="117" w:lineRule="exact"/>
        <w:rPr>
          <w:rFonts w:ascii="Times New Roman" w:cs="Times New Roman" w:eastAsia="Times New Roman" w:hAnsi="Times New Roman"/>
          <w:sz w:val="18"/>
          <w:szCs w:val="18"/>
          <w:color w:val="auto"/>
        </w:rPr>
      </w:pPr>
    </w:p>
    <w:p>
      <w:pPr>
        <w:ind w:left="1620" w:right="20" w:hanging="478"/>
        <w:spacing w:after="0" w:line="282" w:lineRule="auto"/>
        <w:tabs>
          <w:tab w:leader="none" w:pos="1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agreements with CMOs and suppliers for clinical and commercial supplies and scaling up manufacturing processes and capabilities to support our clinical trials;</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620" w:right="320" w:hanging="478"/>
        <w:spacing w:after="0" w:line="282" w:lineRule="auto"/>
        <w:tabs>
          <w:tab w:leader="none" w:pos="1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necessary for commercialization of our product candidates if and when approved by the applicable regulatory authorities, whether by us or in collaboration with third parties;</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post-approval;</w:t>
      </w:r>
    </w:p>
    <w:p>
      <w:pPr>
        <w:spacing w:after="0" w:line="117" w:lineRule="exact"/>
        <w:rPr>
          <w:rFonts w:ascii="Times New Roman" w:cs="Times New Roman" w:eastAsia="Times New Roman" w:hAnsi="Times New Roman"/>
          <w:sz w:val="18"/>
          <w:szCs w:val="18"/>
          <w:color w:val="auto"/>
        </w:rPr>
      </w:pPr>
    </w:p>
    <w:p>
      <w:pPr>
        <w:ind w:left="1620" w:right="560" w:hanging="478"/>
        <w:spacing w:after="0" w:line="282" w:lineRule="auto"/>
        <w:tabs>
          <w:tab w:leader="none" w:pos="1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the applicable regulatory authorities,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products to compete with other therapies and treatment options;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and</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indications and patient populations for our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related to licenses, sublicensing revenue, and milestones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Services provided by CROs, CMOs, and other third parties that conduct preclinical studies and clinical trials</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our behalf</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external costs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internal costs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r>
      <w:tr>
        <w:trPr>
          <w:trHeight w:val="22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33,788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ind w:right="100" w:firstLine="648"/>
        <w:spacing w:after="0" w:line="273"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of general and administrative expenses. During the three months ended March 31, 2024, and 2023, we recorded $0.1 million and $0.4 million, respectively, of patent cost reimbursements as a reduction to general and administrative expense.</w:t>
      </w:r>
    </w:p>
    <w:p>
      <w:pPr>
        <w:spacing w:after="0" w:line="13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a result of expanding our operations, including hiring personnel, preparing for potential commercialization of our product candidates, and additional facility occupancy costs, as well as other expenses necessary to support the growth and operations of a clinical-stage public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earned on cash and marketable securities and the change in fair value of the Memorial Sloan Kettering Cancer Center (“MSKCC”) success payments liability under our Exclusive License Agreement, dated November 13, 2020, with MSKCC (“MSKCC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and collaboration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securities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the MSKCC success payments liability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Collaboration Revenue</w:t>
      </w:r>
    </w:p>
    <w:p>
      <w:pPr>
        <w:spacing w:after="0" w:line="20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Licensing and collaboration revenue decreased by $1.1 million to $2.4 million for the three months ended March 31, 2024, from $3.5 million for the three months ended March 31, 2023. This decrease primarily relates to a decrease of $1.6 million recognized under the now-terminated Collaboration and License Agreement, dated February 9, 2021 (as amended, “AbbVie Agreement”) with AbbVie Manufacturing Management Unlimited Company (“AbbVie”), partially offset by an increase of $0.6 million in revenues recognized under our Information Rights Agreement with Pfizer, Inc. (“Pfizer”), dated June 29, 2023.</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revenue by licensee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1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Pfizer, related party</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licensees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licensing and collaboration revenue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$8.1 million to $33.8 million for the three months ended March 31, 2024, from $25.7 million for the three months ended March 31, 2023. This increase was primarily related to increases of $3.2 million in expenses related to licenses and milestones; $2.0 million in personnel-related expenses, including stock-based compensation, due to headcount increases; and $1.8 million of net increase in external CMO and CRO activities for our clinical CAR-T cell therapy product candidates, driven by an increase of $5.1 million in CRO activities for clinical trials, and partially offset by a decrease of $3.6 million due to timing of CMO activities.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$5.7 million to $14.6 million for the three months ended March 31, 2024, from $8.9 million for the three months ended March 31, 2023. This increase was primarily related to increases of $4.6 million in legal, and other service-related expenses, including $3.9 million of accrued litigation settlement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costs; and $1.3 million in personnel-related expenses, including stock-based compensation, due to headcount increases; partially offset by a decrease of $0.4 million in patent prosecution and maintenance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other income increased by $1.7 million for three months ended March 31, 2024, as compared to the three months ended March 31, 2023.</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recognized a gain related to the change in the fair value of the MSKCC success payments liability in the amount of $0.3 million, for each of the three-month periods ended March 31, 2024, and 2023.</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$1.6 million during the three months ended March 31, 2024, compared to March 31, 2023. The increase primarily relates to a $1.7 million increase in interest income earned from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Capital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operations. We have funded our operations through sales of our capital stock, including sales of our convertible preferred stock, which generated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$150.1 million in aggregate net proceeds through 2021, from our initial public offering (“IPO”) in 2021, which generated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$321.0 million in net proceeds and from an underwritten follow-on public offering in 2023, which generated approximately $134.4 million in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also received approximately $88.4 million in net proceeds from the sale of Intellia common stock through 2020. Additionally, we received a $25.0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equity investment from Pfizer through a private placement transaction in June 2023. Through March 31, 2024, we received approximately $96.5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from licensing agreements, licensing and collaboration agreements, a service agreement, patent assignments, and government grants,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$36.7 million that was received from AbbVie under the now-terminated AbbVie Agreement.</w:t>
      </w:r>
    </w:p>
    <w:p>
      <w:pPr>
        <w:spacing w:after="0" w:line="220"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On August 9, 2022, we filed a universal shelf registration statement on Form S-3 (“Shelf Registration Statement”) with the SEC, which allows us to, from time to time, sell up to $400.0 million of common stock, preferred stock, debt securities, warrants, rights, or units comprised of any combination thereof (including the $100.0 million of common stock reserved for our at-the-market equity offering program). The Shelf Registration Statement was declared effective by the SEC on August 16, 2022.</w:t>
      </w:r>
    </w:p>
    <w:p>
      <w:pPr>
        <w:spacing w:after="0" w:line="16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On August 9, 2022, we entered into an at-the-market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(“ATM Sales Agreement”) with Jefferies LLC (“Jefferies”), pursuant to which, upon the terms and subject to the conditions and limitations set forth in the ATM Sales Agreement, we may, from time to time, in our sole discretion, issue and sell, through Jefferies, acting as sales agent, up to $100.0 million of our shares of common stock, by any method permitted by law deemed to be an “at the market offering” as defined in Rule 415(a)(4) of the Securities Act. Jefferies uses commercially reasonable efforts consistent with its normal sales and trading practices to sell shares from time to time, based upon our instructions (including any price or size limits or other customary parameters or conditions we may impose). We pay Jefferies a commission equal to 3.0% of the aggregate gross proceeds of any shares sold through Jefferies pursuant to the ATM Sales Agreement. As of March 31, 2024, we have sold 1,762,806 shares of our common stock under the ATM Sales Agreement, at an average price per share of $7.32 for aggregate gross proceeds of $12.9 million ($12.3 million net of offering expenses).</w:t>
      </w:r>
    </w:p>
    <w:p>
      <w:pPr>
        <w:spacing w:after="0" w:line="15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July and August 2023, we issued and sold a total of 22,115,384 shares of our common stock in an underwritten follow-on public offering at a price to the public of $6.50 per share, which included the full exercise of the underwriters’ right to purchase 2,884,615 additional shares of our common stock. The total net proceeds from the offering were approximately $134.4 million, after deducting underwriting discounts and commissions and offering expenses. The shares were sold under the Shelf Registration Statement.</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of $345.9 million. We will continue to be dependent upon equity financing, debt financing, collaboration and licensing arrangements, and/or other forms of capital raises at least until we are able to generate significant positive cash flows from our operations. We have no current ongoing material financing commitments, such as lines of credit or guarantees, that are expected to affect our liquidity over the next five years, except for our lease commitments and payments under certain of our license agreements,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described in Note 8 and in Notes 4 and 9, respectively, to our unaudited condensed consolidated financial statements included elsewhere in this Form 10-Q.</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expect that our existing cash, cash equivalents, and marketable securities will be sufficient to fund our operations for at least the next 12 months from the date of this Form 10-Q. We have based these estimates on our current assumptions, which may require future adjustments based on our ongoing business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 June 29, 2023, we entered into a Securities Purchase Agreement with Pfizer pursuant to which we issued and sold to Pfizer 4,690,431 shares of our common stock, par value $0.0001 per share, at a purchase price of $5.33 per share, for aggregate gross proceeds of approximately $25.0 million in a private placement transaction (“Pfizer Investment”). The issuance and sale of the shares to Pfizer closed on June 30, 2023. We granted certain registration rights to Pfizer under the Securities Purchase Agreement covering the resale of the shares. Unless otherwise agreed by Pfizer, we have agreed to use the proceeds from the Pfizer Investment solely in connection with (i) the development program for our allogeneic anti-BCMA CAR-T cell therapy known as CB-011 product candidate that is being evaluated in our CaMMouflage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spacing w:after="0" w:line="17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June 29, 2023, in connection with the Pfizer Investment, we and Pfizer also entered into an Information Rights Agreement, having a 36-month term. Under the Information Rights Agreement, we granted Pfizer a 30 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granted Pfizer the right to designate one representative to serve on our scientific advisory board. Through an information sharing committee, we provide calendar quarter updates to Pfizer regarding the development program for a BCMA Product Candidate. Additionally, we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June 29, 2023, we and Pfizer also entered into a Voting Agreement, pursuant to which, for a period of 12 months, Pfizer agreed to cause our voting securities that Pfizer beneficially owns (within the meaning of Rules 13d-3 or 13d-5 under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shall have the right to vote such voting securities, in accordance with the recommendation of our board of directors or any applicable committee thereof.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0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and research and development expenditures. Cash used to fund operating expenses is impacted by the timing of when we pay these expenses, as reflected in the change in our outstanding accounts payable, accrued expenses, and prepaid expenses.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117" w:lineRule="exact"/>
        <w:rPr>
          <w:sz w:val="20"/>
          <w:szCs w:val="20"/>
          <w:color w:val="auto"/>
        </w:rPr>
      </w:pPr>
    </w:p>
    <w:p>
      <w:pPr>
        <w:ind w:left="1620" w:hanging="478"/>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that we develop;</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number of our employees and expansion of our physical facilities to support growth initiatives;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20" w:right="140" w:hanging="478"/>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enter into any collaboration agreements and the terms of any such agreements;</w:t>
      </w:r>
    </w:p>
    <w:p>
      <w:pPr>
        <w:spacing w:after="0" w:line="117" w:lineRule="exact"/>
        <w:rPr>
          <w:rFonts w:ascii="Times New Roman" w:cs="Times New Roman" w:eastAsia="Times New Roman" w:hAnsi="Times New Roman"/>
          <w:sz w:val="18"/>
          <w:szCs w:val="18"/>
          <w:color w:val="auto"/>
        </w:rPr>
      </w:pPr>
    </w:p>
    <w:p>
      <w:pPr>
        <w:ind w:left="1620" w:right="140" w:hanging="478"/>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our patent applications, and maintaining and enforcing our patents and other intellectual property rights;</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620" w:right="540" w:hanging="478"/>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our products after we receive regulatory approval;</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620" w:right="140" w:hanging="478"/>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 or the cost and timing of completion of clinical-scale and commercial-scale internal manufacturing activities;</w:t>
      </w:r>
    </w:p>
    <w:p>
      <w:pPr>
        <w:spacing w:after="0" w:line="53" w:lineRule="exact"/>
        <w:rPr>
          <w:rFonts w:ascii="Times New Roman" w:cs="Times New Roman" w:eastAsia="Times New Roman" w:hAnsi="Times New Roman"/>
          <w:sz w:val="18"/>
          <w:szCs w:val="18"/>
          <w:color w:val="auto"/>
        </w:rPr>
      </w:pPr>
    </w:p>
    <w:p>
      <w:pPr>
        <w:ind w:left="1620" w:right="720" w:hanging="478"/>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without a partner;</w:t>
      </w:r>
    </w:p>
    <w:p>
      <w:pPr>
        <w:spacing w:after="0" w:line="53" w:lineRule="exact"/>
        <w:rPr>
          <w:rFonts w:ascii="Times New Roman" w:cs="Times New Roman" w:eastAsia="Times New Roman" w:hAnsi="Times New Roman"/>
          <w:sz w:val="18"/>
          <w:szCs w:val="18"/>
          <w:color w:val="auto"/>
        </w:rPr>
      </w:pPr>
    </w:p>
    <w:p>
      <w:pPr>
        <w:ind w:left="1620" w:right="440" w:hanging="478"/>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regulatory approval;</w:t>
      </w:r>
    </w:p>
    <w:p>
      <w:pPr>
        <w:spacing w:after="0" w:line="53"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by or to third parties;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or geopolitical events on our clinical development or operations;</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inflationary pressures on the cost of our operations; and</w:t>
      </w:r>
    </w:p>
    <w:p>
      <w:pPr>
        <w:spacing w:after="0" w:line="11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8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Furthermore, our operating plans may change, and we expect to need additional funds to meet operational needs and capital requirements for clinical trials and other research and development expenditures.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human therapeutics, we may never achieve profitability and, unless and until we are able to develop and commercialize our product candidates, we will need to continue to raise additional capital; however, funding may not be available to us on acceptable terms, or at all. If we are unable to obtain adequate financing when needed, we may have to delay, reduce the scope of, or suspend one or more of our preclinical studies, clinical trials, research and development programs, and/or commercialization efforts. We may seek to raise any necessary additional capital through a combination of equity offerings (including our at-the-market equity offering program), debt financings, collaborations and strategic alliances, licensing arrangements, or other sources. If we raise additional capital through debt financing, we may be subject to covenants limiting or restricting our ability to take specific actions, such as incurring additional debt, making capital expenditures, or declaring dividends. If we raise additional capital through the sale of equity or convertible debt securities, the issuance of these securities could result in dilution to our stockholders. If we raise additional capital through marketing and distribution arrangements or other collaborations, strategic alliances, or licensing arrangements with third parties or other sources, we may have to relinquish certain valuable rights to our product candidates, technologies, future revenue streams, or research programs or grant licenses on terms that may not be favorable to us.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0" w:type="dxa"/>
            <w:vAlign w:val="bottom"/>
          </w:tcPr>
          <w:p>
            <w:pPr>
              <w:spacing w:after="0"/>
              <w:rPr>
                <w:sz w:val="1"/>
                <w:szCs w:val="1"/>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0" w:type="dxa"/>
            <w:vAlign w:val="bottom"/>
          </w:tcPr>
          <w:p>
            <w:pPr>
              <w:spacing w:after="0"/>
              <w:rPr>
                <w:sz w:val="1"/>
                <w:szCs w:val="1"/>
                <w:color w:val="auto"/>
              </w:rPr>
            </w:pPr>
          </w:p>
        </w:tc>
      </w:tr>
      <w:tr>
        <w:trPr>
          <w:trHeight w:val="232"/>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5"/>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$37.2 million and $27.9 million for the three months ended March 31, 2024, and 2023, respectively.</w:t>
      </w:r>
    </w:p>
    <w:p>
      <w:pPr>
        <w:spacing w:after="0" w:line="18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was primarily due to our net loss of $41.2 million, adjusted by non-cash charges of $4.9 million and net changes in our operating assets and liabilities of $0.8 million. Our non-cash charges were primarily comprised of $4.0 million of stock-based compensation, $0.7 million of depreciation and amortization expense, and non-cash lease expense of $0.5 million, which were partially offset by change in the fair value of the MSKCC success payments liability of $0.3 million, and accretion of discounts on our marketable securities investments of $1.5 million. The changes in our operating assets and liabilities were primarily due to an increase in accounts receivable of $0.8 million, and prepaid expenses and other current assets of $0.8 million and decreases of $2.2 million in accrued expenses and other current liabilities, and $0.7 million in deferred revenue, current and long-term, partially offset by decreases in other receivables of $0.6 million, and $0.5 million in contract assets, and an increase of $2.7 million in accounts payable.</w:t>
      </w:r>
    </w:p>
    <w:p>
      <w:pPr>
        <w:spacing w:after="0" w:line="15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2023, was primarily due to our net loss of $28.0 million, adjusted by non-cash charges of $2.5 million and net changes in our operating assets and liabilities of $2.4 million. Our non-cash charges were primarily comprised of $3.1 million of stock-based compensation, $0.6 million of depreciation and amortization expense, and non-cash lease expense of $0.5 million, which were partially offset by amortization of investment premiums of $1.5 million, and change in the fair value of the MSKCC success payments liability of $0.3 million. The changes in our operating assets and liabilities were due to increases of $1.3 million in accounts receivable, and decreases of $4.1 million in accrued expenses and other current liabilities, $1.1 million in deferred revenue, and $0.3 million in operating lease liabilities, partially offset by decreases in prepaid expenses and other current assets of $1.8 million, contract assets of $0.6 million, and other receivables of $0.5 million, and an increase of $1.5 million in accounts payable.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Investing Activities</w:t>
      </w:r>
    </w:p>
    <w:p>
      <w:pPr>
        <w:spacing w:after="0" w:line="189"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cash provided by investing activities was $23.0 million, and $20.7 million, respectively.</w:t>
      </w:r>
    </w:p>
    <w:p>
      <w:pPr>
        <w:spacing w:after="0" w:line="12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2024, was primarily due to proceeds from the sales and maturities of marketable securities of $97.1 million, partially offset by purchases of marketable securities of $71.2 million, in-process research and development of $1.5 million, and property and equipment of $1.4 million.</w:t>
      </w:r>
    </w:p>
    <w:p>
      <w:pPr>
        <w:spacing w:after="0" w:line="14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2023, was primarily due to proceeds from the sales and maturities of marketable securities of $98.7 million, partially offset by sales of marketable securities of $75.9 million and property and equipment of $2.0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and 2023, cash provided by financing activities was $12.5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2024, was primarily due to net proceeds from our at-the-market equity offering program of $11.3 million, the purchases of common stock under the 2021 Employee Stock Purchase Plan (“2021 ESPP”) of $0.7 million, and the exercise of stock options of $0.5 million.</w:t>
      </w:r>
    </w:p>
    <w:p>
      <w:pPr>
        <w:spacing w:after="0" w:line="14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2023, was due to net proceeds from our at-the-market equity offering program of $1.1 million and the exercise of stock options and purchases of common stock under the 2021 ESPP of $0.5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disclosed in our audited consolidated financial statements for the year ended December 31, 2023, and the related notes included in our Form 10-K. Since the date of such financial statements, there have been no material changes to our significant accounting policies. There have been no material changes to our critical accounting estimates as compared to those disclosed in our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Form 10-Q for more information regarding recently issued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 are no longer an emerging growth company or (b) affirmatively and irrevocably opt out of the extended transition period provided in the JOBS Act. As a result, our unaudited condensed consolidated financial statements may not be comparable to those of companies that comply with the new or revised accounting pronouncements as of public company effective dates.</w:t>
      </w:r>
    </w:p>
    <w:p>
      <w:pPr>
        <w:spacing w:after="0" w:line="14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expect to use the extended transition period for any other new or revised accounting standards during the period in which we remain an emerging growth company.</w:t>
      </w:r>
    </w:p>
    <w:p>
      <w:pPr>
        <w:spacing w:after="0" w:line="121"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Form 10-K and, similar to emerging growth companies, smaller reporting companies have reduced disclosure obligations regarding executive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 during the three months ended March 31, 2024. For a discussion of our exposure to market risk, refer to the section titled “Quantitative and Qualitative Disclosures About Market Risk” in our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principal executive officer and principal financial officer have concluded that, based upon the evaluation described above, as of March 31, 2024, our disclosure controls and procedures were effective.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13a-15(f) or 15d-15(f) under the Exchange Act during the three months ended March 31, 2024, that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arising in the ordinary course of business. Regardless of the outcome, litigation can have a material adverse effect on us due to defense and settlement costs, diversion of our management resources, and other factors.</w:t>
      </w:r>
    </w:p>
    <w:p>
      <w:pPr>
        <w:spacing w:after="0" w:line="12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April 11, 2023, a putative class action lawsuit was filed in the U.S. District Court for the Northern District of California against our company and certain of our officers and current and former members of our board of directors, </w:t>
      </w:r>
      <w:r>
        <w:rPr>
          <w:rFonts w:ascii="Times New Roman" w:cs="Times New Roman" w:eastAsia="Times New Roman" w:hAnsi="Times New Roman"/>
          <w:sz w:val="18"/>
          <w:szCs w:val="18"/>
          <w:i w:val="1"/>
          <w:iCs w:val="1"/>
          <w:color w:val="auto"/>
        </w:rPr>
        <w:t>Bergman v. Caribou Biosciences, Inc., et al.</w:t>
      </w:r>
      <w:r>
        <w:rPr>
          <w:rFonts w:ascii="Times New Roman" w:cs="Times New Roman" w:eastAsia="Times New Roman" w:hAnsi="Times New Roman"/>
          <w:sz w:val="18"/>
          <w:szCs w:val="18"/>
          <w:color w:val="auto"/>
        </w:rPr>
        <w:t>, Case Number 4:23-cv-01742-YGR (“Bergman Case”). The Bergman complaint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and Sections 10(b) and 20(a) of the Exchange Act. On September 18, 2023, plaintiffs filed an amended complaint adding the IPO underwriters as defendants and making substantially the same allegations as the original complaint. On November 14, 2023, we filed a motion to dismiss the amended complaint for failure to state a claim. Motion to dismiss briefing was completed on February 21, 2024. On April 22, 2024, we reached an agreement in principle with plaintiffs to settle the Bergman Case for $3.9 million in exchange for a full release of the putative class’s claims against us and all of our current and former officers, current and former members of our board of directors, the IPO underwriters, and the other named defendant. The parties are negotiating a settlement agreement, which the court must approve before settlement is final.</w:t>
      </w:r>
    </w:p>
    <w:p>
      <w:pPr>
        <w:spacing w:after="0" w:line="167" w:lineRule="exact"/>
        <w:rPr>
          <w:sz w:val="20"/>
          <w:szCs w:val="20"/>
          <w:color w:val="auto"/>
        </w:rPr>
      </w:pPr>
    </w:p>
    <w:p>
      <w:pPr>
        <w:ind w:right="280" w:firstLine="648"/>
        <w:spacing w:after="0" w:line="276" w:lineRule="auto"/>
        <w:rPr>
          <w:sz w:val="20"/>
          <w:szCs w:val="20"/>
          <w:color w:val="auto"/>
        </w:rPr>
      </w:pPr>
      <w:r>
        <w:rPr>
          <w:rFonts w:ascii="Times New Roman" w:cs="Times New Roman" w:eastAsia="Times New Roman" w:hAnsi="Times New Roman"/>
          <w:sz w:val="17"/>
          <w:szCs w:val="17"/>
          <w:color w:val="auto"/>
        </w:rPr>
        <w:t xml:space="preserve">On March 22, 2023, a putative class action lawsuit was filed in Superior Court of the State of California for the County of Alameda against our company and certain of our officers and current and former members of our board of directors, </w:t>
      </w:r>
      <w:r>
        <w:rPr>
          <w:rFonts w:ascii="Times New Roman" w:cs="Times New Roman" w:eastAsia="Times New Roman" w:hAnsi="Times New Roman"/>
          <w:sz w:val="17"/>
          <w:szCs w:val="17"/>
          <w:i w:val="1"/>
          <w:iCs w:val="1"/>
          <w:color w:val="auto"/>
        </w:rPr>
        <w:t>Lowry v. Caribou Biosciences, Inc., et al.</w:t>
      </w:r>
      <w:r>
        <w:rPr>
          <w:rFonts w:ascii="Times New Roman" w:cs="Times New Roman" w:eastAsia="Times New Roman" w:hAnsi="Times New Roman"/>
          <w:sz w:val="17"/>
          <w:szCs w:val="17"/>
          <w:color w:val="auto"/>
        </w:rPr>
        <w:t>, Case Number</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T23-1084 (“Lowry Case”). The Lowry Case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The allegations and claims in the Lowry Case are substantially similar to the Securities Act claims asserted in the Bergman Case. On April 26, 2023, we filed a motion to stay the Lowry Case during the pendency of the parallel federal court litigation in the Bergman Case, and, on July 11, 2023, our motion to stay was denied. On September 11, 2023, plaintiff filed an amended complaint making substantially the same allegations as the original complaint. On November 9, 2023, we filed a motion to dismiss the amended complaint on the grounds that our certification of incorporation mandates that Securities Act claims against us be brought in federal court. On February 28, 2024, the court granted our motion to dismiss and, on April 15, 2024, the court entered an order of dismissal.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Item 1A. to Part I of our Form 10-K. The risks described in our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for the Three Months Ended March 31, 2024</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three months ended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IPO</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net proceeds from our IPO, after deducting underwriting discounts and commissions and offering expenses of $28.6 million, were $321.0 million. We are holding a significant portion of the balance of the net proceeds from our IPO in money market mutual funds, U.S. Treasury bills, corporate debt securities, and U.S. government agency bonds. There has been no material change in our planned use of the net proceeds from our IPO described in the final prospectus for our IPO filed on July 23, 2021 with the SEC pursuant to Rule 424(b)(4)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February 23, 2024, Jason O’Byrne, our chief financial officer, adopted a Rule 10b5-1 trading arrangement, providing for the sale from time to time of up to 44,336 shares of common stock in amounts and at prices determined in accordance with plan terms. The trading arrangement is intended to satisfy the affirmative defense in Rule 10b5-1(c) under the Exchange Act. The duration of the trading arrangement is until November 20, 2024, or earlier if all transactions under the trading arrangement are completed.</w:t>
      </w:r>
    </w:p>
    <w:p>
      <w:pPr>
        <w:spacing w:after="0" w:line="1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above, no other director or Section 16 officer adopted or terminated any Rule 10b5-1 trading arrangement or non-Rule 10b5-1 trading arrangement (as that term is defined in Regulation S-K, Item 408) during the quarter ended March 31, 2024.</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320"/>
        <w:spacing w:after="0"/>
        <w:tabs>
          <w:tab w:leader="none" w:pos="5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60"/>
        <w:spacing w:after="0" w:line="281"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Amended and Restated Certificate of Incorporation of Caribou Biosciences, Inc. (incorporated by reference to Exhibit 3.1 to the Current</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Report on Form 8-K (File No. 001-40631) filed by the Registrant with the SEC on July 28, 2021)</w:t>
        </w:r>
      </w:hyperlink>
    </w:p>
    <w:p>
      <w:pPr>
        <w:spacing w:after="0" w:line="1" w:lineRule="exact"/>
        <w:rPr>
          <w:sz w:val="20"/>
          <w:szCs w:val="20"/>
          <w:color w:val="auto"/>
        </w:rPr>
      </w:pPr>
    </w:p>
    <w:p>
      <w:pPr>
        <w:ind w:right="80"/>
        <w:spacing w:after="0" w:line="273"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Amended and Restated Bylaws of Caribou Biosciences, Inc. (incorporated by reference to Exhibit 3.2 to the Current Report on Form 8-K</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(File No. 001-40631) filed by the Registrant with the SEC on July 28, 2021)</w:t>
        </w:r>
      </w:hyperlink>
    </w:p>
    <w:p>
      <w:pPr>
        <w:spacing w:after="0" w:line="2" w:lineRule="exact"/>
        <w:rPr>
          <w:sz w:val="20"/>
          <w:szCs w:val="20"/>
          <w:color w:val="auto"/>
        </w:rPr>
      </w:pPr>
    </w:p>
    <w:p>
      <w:pPr>
        <w:sectPr>
          <w:pgSz w:w="11900" w:h="16838" w:orient="portrait"/>
          <w:cols w:equalWidth="0" w:num="2">
            <w:col w:w="540" w:space="720"/>
            <w:col w:w="99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Description of Common Stock (incorporated by reference to Exhibit 4.1 to the Registrant’s Annual Report on Form 10-K for the fiscal</w:t>
              </w:r>
            </w:hyperlink>
          </w:p>
        </w:tc>
        <w:tc>
          <w:tcPr>
            <w:tcW w:w="120" w:type="dxa"/>
            <w:vAlign w:val="bottom"/>
            <w:gridSpan w:val="2"/>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67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year ended December 31, 2021 (File No. 001-40631), filed with the SEC on March 21, 2022)</w:t>
              </w:r>
            </w:hyperlink>
          </w:p>
        </w:tc>
        <w:tc>
          <w:tcPr>
            <w:tcW w:w="3080" w:type="dxa"/>
            <w:vAlign w:val="bottom"/>
            <w:gridSpan w:val="3"/>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Compensation Letter, dated February 20, 2024, from the Registrant to Rachel E. Haurwitz, Ph.D. (incorporated by reference to Exhibit</w:t>
              </w:r>
            </w:hyperlink>
          </w:p>
        </w:tc>
        <w:tc>
          <w:tcPr>
            <w:tcW w:w="10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32</w:t>
              </w:r>
              <w:r>
                <w:rPr>
                  <w:rFonts w:ascii="Times New Roman" w:cs="Times New Roman" w:eastAsia="Times New Roman" w:hAnsi="Times New Roman"/>
                  <w:sz w:val="18"/>
                  <w:szCs w:val="18"/>
                  <w:color w:val="0000FF"/>
                  <w:w w:val="99"/>
                </w:rPr>
                <w:t xml:space="preserve"> to the Registrant’s Annual Report on Form 10-K for the fiscal year ended December 31, 2023 (File No. 001-40631), filed with the</w:t>
              </w:r>
            </w:hyperlink>
          </w:p>
        </w:tc>
      </w:tr>
      <w:tr>
        <w:trPr>
          <w:trHeight w:val="196"/>
        </w:trPr>
        <w:tc>
          <w:tcPr>
            <w:tcW w:w="1240" w:type="dxa"/>
            <w:vAlign w:val="bottom"/>
          </w:tcPr>
          <w:p>
            <w:pPr>
              <w:spacing w:after="0"/>
              <w:rPr>
                <w:sz w:val="17"/>
                <w:szCs w:val="17"/>
                <w:color w:val="auto"/>
              </w:rPr>
            </w:pPr>
          </w:p>
        </w:tc>
        <w:tc>
          <w:tcPr>
            <w:tcW w:w="18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SEC on March 11, 2024)</w:t>
              </w:r>
            </w:hyperlink>
          </w:p>
        </w:tc>
        <w:tc>
          <w:tcPr>
            <w:tcW w:w="8000" w:type="dxa"/>
            <w:vAlign w:val="bottom"/>
            <w:gridSpan w:val="4"/>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br w:type="column"/>
      </w:r>
    </w:p>
    <w:p>
      <w:pPr>
        <w:spacing w:after="0" w:line="266"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Compensation Letter, dated February 20, 2024, from the Registrant to Jason V. O’Byrne (incorporated by reference to Exhibit 10.37 to the</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Registrant’s Annual Report on Form 10-K for the fiscal year ended December 31, 2023 (File No. 001-40631), filed with the SEC on</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March 11, 2024)</w:t>
        </w:r>
      </w:hyperlink>
    </w:p>
    <w:p>
      <w:pPr>
        <w:spacing w:after="0" w:line="14" w:lineRule="exact"/>
        <w:rPr>
          <w:rFonts w:ascii="Times New Roman" w:cs="Times New Roman" w:eastAsia="Times New Roman" w:hAnsi="Times New Roman"/>
          <w:sz w:val="18"/>
          <w:szCs w:val="18"/>
          <w:u w:val="single" w:color="auto"/>
          <w:color w:val="0000FF"/>
        </w:rPr>
      </w:pPr>
    </w:p>
    <w:p>
      <w:pPr>
        <w:ind w:right="160"/>
        <w:spacing w:after="0" w:line="266"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Compensation Letter, dated February 20, 2024, from the Registrant to Barbara G. McClung, J.D. (incorporated by reference to Exhibit</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10.41 to the Registrant’s Annual Report on Form 10-K for the fiscal year ended December 31, 2023 (File No. 001-40631), filed with the</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SEC on March 11, 2024)</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720"/>
            <w:col w:w="99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10.4+</w:t>
            </w:r>
          </w:p>
        </w:tc>
        <w:tc>
          <w:tcPr>
            <w:tcW w:w="9800" w:type="dxa"/>
            <w:vAlign w:val="bottom"/>
            <w:gridSpan w:val="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Compensation Letter, dated February 20, 2024, from the Registrant to Steven B. Kanner, Ph.D. (incorporated by reference to Exhibit</w:t>
              </w:r>
            </w:hyperlink>
          </w:p>
        </w:tc>
      </w:tr>
      <w:tr>
        <w:trPr>
          <w:trHeight w:val="20"/>
        </w:trPr>
        <w:tc>
          <w:tcPr>
            <w:tcW w:w="12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45</w:t>
              </w:r>
              <w:r>
                <w:rPr>
                  <w:rFonts w:ascii="Times New Roman" w:cs="Times New Roman" w:eastAsia="Times New Roman" w:hAnsi="Times New Roman"/>
                  <w:sz w:val="18"/>
                  <w:szCs w:val="18"/>
                  <w:color w:val="0000FF"/>
                  <w:w w:val="99"/>
                </w:rPr>
                <w:t xml:space="preserve"> to the Registrant’s Annual Report on Form 10-K for the fiscal year ended December 31, 2023 (File No. 001-40631), filed with the</w:t>
              </w:r>
            </w:hyperlink>
          </w:p>
        </w:tc>
      </w:tr>
      <w:tr>
        <w:trPr>
          <w:trHeight w:val="196"/>
        </w:trPr>
        <w:tc>
          <w:tcPr>
            <w:tcW w:w="1240" w:type="dxa"/>
            <w:vAlign w:val="bottom"/>
          </w:tcPr>
          <w:p>
            <w:pPr>
              <w:spacing w:after="0"/>
              <w:rPr>
                <w:sz w:val="17"/>
                <w:szCs w:val="17"/>
                <w:color w:val="auto"/>
              </w:rPr>
            </w:pPr>
          </w:p>
        </w:tc>
        <w:tc>
          <w:tcPr>
            <w:tcW w:w="18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SEC on March 11, 2024)</w:t>
              </w:r>
            </w:hyperlink>
          </w:p>
        </w:tc>
        <w:tc>
          <w:tcPr>
            <w:tcW w:w="8000" w:type="dxa"/>
            <w:vAlign w:val="bottom"/>
            <w:gridSpan w:val="2"/>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br w:type="column"/>
      </w:r>
    </w:p>
    <w:p>
      <w:pPr>
        <w:jc w:val="both"/>
        <w:ind w:right="460"/>
        <w:spacing w:after="0" w:line="266"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Compensation Letter, dated February 20, 2024, from the Registrant to Ruhi Khan (incorporated by reference to Exhibit 10.49 to the</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Registrant’s Annual Report on Form 10-K for the fiscal year ended December 31, 2023 (File No. 001-40631), filed with the SEC on</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March 11, 2024)</w:t>
        </w:r>
      </w:hyperlink>
    </w:p>
    <w:p>
      <w:pPr>
        <w:spacing w:after="0" w:line="14" w:lineRule="exact"/>
        <w:rPr>
          <w:rFonts w:ascii="Times New Roman" w:cs="Times New Roman" w:eastAsia="Times New Roman" w:hAnsi="Times New Roman"/>
          <w:sz w:val="18"/>
          <w:szCs w:val="18"/>
          <w:u w:val="single" w:color="auto"/>
          <w:color w:val="0000FF"/>
        </w:rPr>
      </w:pPr>
    </w:p>
    <w:p>
      <w:pPr>
        <w:ind w:right="200"/>
        <w:spacing w:after="0" w:line="266" w:lineRule="auto"/>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Officer Employment Agreement by and between the Registrant and Tim Kelly, dated January 1, 2024 (incorporated by reference to</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Exhibit 10.55 to the Registrant’s Annual Report on Form 10-K for the fiscal year ended December 31, 2023 (File No. 001-40631), filed</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with the SEC on March 11, 2024)</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720"/>
            <w:col w:w="996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8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Exchange Act, as Adopted Pursuant to Section 302 of the Sarbanes-Oxley Act of 2002.</w:t>
      </w:r>
    </w:p>
    <w:p>
      <w:pPr>
        <w:spacing w:after="0" w:line="1" w:lineRule="exact"/>
        <w:rPr>
          <w:rFonts w:ascii="Times New Roman" w:cs="Times New Roman" w:eastAsia="Times New Roman" w:hAnsi="Times New Roman"/>
          <w:sz w:val="18"/>
          <w:szCs w:val="18"/>
          <w:u w:val="single" w:color="auto"/>
          <w:color w:val="0000FF"/>
        </w:rPr>
      </w:pPr>
    </w:p>
    <w:p>
      <w:pPr>
        <w:ind w:right="240"/>
        <w:spacing w:after="0" w:line="273"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Exchange Act, as Adopted Pursuant to Section 302 of the Sarbanes-Oxley Act of 2002.</w:t>
      </w:r>
    </w:p>
    <w:p>
      <w:pPr>
        <w:spacing w:after="0" w:line="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720"/>
            <w:col w:w="99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6"/>
              </w:rPr>
              <w:t>32.1**</w:t>
            </w:r>
          </w:p>
        </w:tc>
        <w:tc>
          <w:tcPr>
            <w:tcW w:w="9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9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spacing w:after="0" w:line="49" w:lineRule="exact"/>
        <w:rPr>
          <w:rFonts w:ascii="Times New Roman" w:cs="Times New Roman" w:eastAsia="Times New Roman" w:hAnsi="Times New Roman"/>
          <w:sz w:val="18"/>
          <w:szCs w:val="18"/>
          <w:u w:val="single" w:color="auto"/>
          <w:color w:val="0000FF"/>
        </w:rPr>
      </w:pPr>
    </w:p>
    <w:p>
      <w:pPr>
        <w:sectPr>
          <w:pgSz w:w="11900" w:h="16838" w:orient="portrait"/>
          <w:cols w:equalWidth="0" w:num="1">
            <w:col w:w="1122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79"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40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 w:lineRule="exact"/>
        <w:rPr>
          <w:rFonts w:ascii="Times New Roman" w:cs="Times New Roman" w:eastAsia="Times New Roman" w:hAnsi="Times New Roman"/>
          <w:sz w:val="18"/>
          <w:szCs w:val="18"/>
          <w:u w:val="single" w:color="auto"/>
          <w:color w:val="0000FF"/>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20" w:space="540"/>
            <w:col w:w="9960"/>
          </w:cols>
          <w:pgMar w:left="320" w:top="121" w:right="359" w:bottom="1440" w:gutter="0" w:footer="0" w:header="0"/>
          <w:type w:val="continuous"/>
        </w:sect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36" w:lineRule="exact"/>
        <w:rPr>
          <w:rFonts w:ascii="Times New Roman" w:cs="Times New Roman" w:eastAsia="Times New Roman" w:hAnsi="Times New Roman"/>
          <w:sz w:val="18"/>
          <w:szCs w:val="18"/>
          <w:u w:val="single" w:color="auto"/>
          <w:color w:val="0000FF"/>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36" w:lineRule="exact"/>
        <w:rPr>
          <w:rFonts w:ascii="Times New Roman" w:cs="Times New Roman" w:eastAsia="Times New Roman" w:hAnsi="Times New Roman"/>
          <w:sz w:val="18"/>
          <w:szCs w:val="18"/>
          <w:u w:val="single" w:color="auto"/>
          <w:color w:val="0000FF"/>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36" w:lineRule="exact"/>
        <w:rPr>
          <w:rFonts w:ascii="Times New Roman" w:cs="Times New Roman" w:eastAsia="Times New Roman" w:hAnsi="Times New Roman"/>
          <w:sz w:val="18"/>
          <w:szCs w:val="18"/>
          <w:u w:val="single" w:color="auto"/>
          <w:color w:val="0000FF"/>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36" w:lineRule="exact"/>
        <w:rPr>
          <w:rFonts w:ascii="Times New Roman" w:cs="Times New Roman" w:eastAsia="Times New Roman" w:hAnsi="Times New Roman"/>
          <w:sz w:val="18"/>
          <w:szCs w:val="18"/>
          <w:u w:val="single" w:color="auto"/>
          <w:color w:val="0000FF"/>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36" w:lineRule="exact"/>
        <w:rPr>
          <w:rFonts w:ascii="Times New Roman" w:cs="Times New Roman" w:eastAsia="Times New Roman" w:hAnsi="Times New Roman"/>
          <w:sz w:val="18"/>
          <w:szCs w:val="18"/>
          <w:u w:val="single" w:color="auto"/>
          <w:color w:val="0000FF"/>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10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198" w:lineRule="exact"/>
        <w:rPr>
          <w:rFonts w:ascii="Times New Roman" w:cs="Times New Roman" w:eastAsia="Times New Roman" w:hAnsi="Times New Roman"/>
          <w:sz w:val="18"/>
          <w:szCs w:val="18"/>
          <w:u w:val="single" w:color="auto"/>
          <w:color w:val="0000FF"/>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u w:val="single" w:color="auto"/>
          <w:color w:val="0000FF"/>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ectPr>
          <w:pgSz w:w="11900" w:h="16838" w:orient="portrait"/>
          <w:cols w:equalWidth="0" w:num="1">
            <w:col w:w="1122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Caribou Biosciences, Inc.</w:t>
      </w:r>
    </w:p>
    <w:p>
      <w:pPr>
        <w:spacing w:after="0" w:line="320" w:lineRule="exact"/>
        <w:rPr>
          <w:sz w:val="20"/>
          <w:szCs w:val="20"/>
          <w:color w:val="auto"/>
        </w:rPr>
      </w:pPr>
    </w:p>
    <w:p>
      <w:pPr>
        <w:ind w:left="20"/>
        <w:spacing w:after="0"/>
        <w:tabs>
          <w:tab w:leader="none" w:pos="5700" w:val="left"/>
          <w:tab w:leader="none" w:pos="62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tab/>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Rachel E. Haurwitz</w:t>
      </w:r>
    </w:p>
    <w:p>
      <w:pPr>
        <w:spacing w:after="0" w:line="2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tabs>
          <w:tab w:leader="none" w:pos="5700" w:val="left"/>
          <w:tab w:leader="none" w:pos="62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Jason V. O’Byrne</w:t>
      </w:r>
    </w:p>
    <w:p>
      <w:pPr>
        <w:spacing w:after="0" w:line="5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80"/>
          </w:cols>
          <w:pgMar w:left="320" w:top="121" w:right="6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E. Haurwitz,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Caribou Biosciences,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26035</wp:posOffset>
            </wp:positionV>
            <wp:extent cx="2957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Rachel E. Haurwitz</w:t>
      </w:r>
    </w:p>
    <w:p>
      <w:pPr>
        <w:spacing w:after="0" w:line="3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03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V. O’Byrne,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Caribou Biosciences,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20" w:val="left"/>
          <w:tab w:leader="none" w:pos="66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26035</wp:posOffset>
            </wp:positionV>
            <wp:extent cx="2957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Jason V. O’Byrne</w:t>
      </w:r>
    </w:p>
    <w:p>
      <w:pPr>
        <w:spacing w:after="0" w:line="3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03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Caribou Biosciences, Inc. (the “Company”) on Form 10-Q for the period ended March 31, 2024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58" w:lineRule="exact"/>
        <w:rPr>
          <w:sz w:val="20"/>
          <w:szCs w:val="20"/>
          <w:color w:val="auto"/>
        </w:rPr>
      </w:pPr>
    </w:p>
    <w:p>
      <w:pPr>
        <w:ind w:left="20"/>
        <w:spacing w:after="0"/>
        <w:tabs>
          <w:tab w:leader="none" w:pos="6120" w:val="left"/>
          <w:tab w:leader="none" w:pos="66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tab/>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26035</wp:posOffset>
            </wp:positionV>
            <wp:extent cx="29571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Rachel E. Haurwitz</w:t>
      </w:r>
    </w:p>
    <w:p>
      <w:pPr>
        <w:spacing w:after="0" w:line="3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03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Caribou Biosciences, Inc. (the “Company”) on Form 10-Q for the period ended March 31, 2024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58"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26035</wp:posOffset>
            </wp:positionV>
            <wp:extent cx="29571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Jason V. O’Byrne</w:t>
      </w:r>
    </w:p>
    <w:p>
      <w:pPr>
        <w:spacing w:after="0" w:line="3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52" Type="http://schemas.openxmlformats.org/officeDocument/2006/relationships/hyperlink" Target="https://www.sec.gov/Archives/edgar/data/1619856/000119312521227378/d189230dex31.htm" TargetMode="External"/><Relationship Id="rId53" Type="http://schemas.openxmlformats.org/officeDocument/2006/relationships/hyperlink" Target="https://www.sec.gov/Archives/edgar/data/1619856/000119312521227378/d189230dex32.htm" TargetMode="External"/><Relationship Id="rId54" Type="http://schemas.openxmlformats.org/officeDocument/2006/relationships/hyperlink" Target="https://www.sec.gov/Archives/edgar/data/1619856/000095017022004233/crbu-ex4_1.htm" TargetMode="External"/><Relationship Id="rId55" Type="http://schemas.openxmlformats.org/officeDocument/2006/relationships/hyperlink" Target="https://www.sec.gov/Archives/edgar/data/1619856/000161985624000013/ex1032-rachelx2024x02x20of.htm" TargetMode="External"/><Relationship Id="rId56" Type="http://schemas.openxmlformats.org/officeDocument/2006/relationships/hyperlink" Target="https://www.sec.gov/Archives/edgar/data/1619856/000161985624000013/ex1037-jasonx2024x02x20off.htm" TargetMode="External"/><Relationship Id="rId57" Type="http://schemas.openxmlformats.org/officeDocument/2006/relationships/hyperlink" Target="https://www.sec.gov/Archives/edgar/data/1619856/000161985624000013/ex1041-barbarax2024x02x20o.htm" TargetMode="External"/><Relationship Id="rId58" Type="http://schemas.openxmlformats.org/officeDocument/2006/relationships/hyperlink" Target="https://www.sec.gov/Archives/edgar/data/1619856/000161985624000013/ex1045-stevex2024x02x20off.htm" TargetMode="External"/><Relationship Id="rId59" Type="http://schemas.openxmlformats.org/officeDocument/2006/relationships/hyperlink" Target="https://www.sec.gov/Archives/edgar/data/1619856/000161985624000013/ex1049-ruhix2024x02x20offi.htm" TargetMode="External"/><Relationship Id="rId60" Type="http://schemas.openxmlformats.org/officeDocument/2006/relationships/hyperlink" Target="https://www.sec.gov/Archives/edgar/data/1619856/000161985624000013/ex1055-timkellyemploy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2024-05-07T15:48:17Z</dcterms:created>
  <dcterms:modified xsi:type="dcterms:W3CDTF">2024-05-07T15:48:17Z</dcterms:modified>
</cp:coreProperties>
</file>