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69" w:lineRule="exact"/>
        <w:rPr>
          <w:sz w:val="24"/>
          <w:szCs w:val="24"/>
          <w:color w:val="auto"/>
        </w:rPr>
      </w:pPr>
    </w:p>
    <w:p>
      <w:pPr>
        <w:ind w:left="500" w:hanging="474"/>
        <w:spacing w:after="0"/>
        <w:tabs>
          <w:tab w:leader="none" w:pos="50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9" w:lineRule="exact"/>
        <w:rPr>
          <w:sz w:val="24"/>
          <w:szCs w:val="24"/>
          <w:color w:val="auto"/>
        </w:rPr>
      </w:pPr>
    </w:p>
    <w:p>
      <w:pPr>
        <w:ind w:left="20"/>
        <w:spacing w:after="0"/>
        <w:tabs>
          <w:tab w:leader="none" w:pos="460" w:val="left"/>
        </w:tabs>
        <w:rPr>
          <w:sz w:val="20"/>
          <w:szCs w:val="20"/>
          <w:color w:val="auto"/>
        </w:rPr>
      </w:pPr>
      <w:r>
        <w:rPr>
          <w:rFonts w:ascii="Arial" w:cs="Arial" w:eastAsia="Arial" w:hAnsi="Arial"/>
          <w:sz w:val="14"/>
          <w:szCs w:val="14"/>
          <w:b w:val="1"/>
          <w:bCs w:val="1"/>
          <w:color w:val="auto"/>
        </w:rPr>
        <w:t>o</w:t>
      </w:r>
      <w:r>
        <w:rPr>
          <w:sz w:val="20"/>
          <w:szCs w:val="20"/>
          <w:color w:val="auto"/>
        </w:rPr>
        <w:tab/>
      </w:r>
      <w:r>
        <w:rPr>
          <w:rFonts w:ascii="Arial" w:cs="Arial" w:eastAsia="Arial" w:hAnsi="Arial"/>
          <w:sz w:val="14"/>
          <w:szCs w:val="14"/>
          <w:b w:val="1"/>
          <w:bCs w:val="1"/>
          <w:color w:val="auto"/>
        </w:rPr>
        <w:t>TRANSITION REPORT PURSUANT TO SECTION 13 OR 15(d) OF THE SECURITIES EXCHANGE ACT OF 1934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001-40631</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119" w:lineRule="exact"/>
        <w:rPr>
          <w:sz w:val="24"/>
          <w:szCs w:val="24"/>
          <w:color w:val="auto"/>
        </w:rPr>
      </w:pPr>
    </w:p>
    <w:tbl>
      <w:tblPr>
        <w:tblLayout w:type="fixed"/>
        <w:tblInd w:w="1240" w:type="dxa"/>
        <w:tblCellMar>
          <w:top w:w="0" w:type="dxa"/>
          <w:left w:w="0" w:type="dxa"/>
          <w:bottom w:w="0" w:type="dxa"/>
          <w:right w:w="0" w:type="dxa"/>
        </w:tblCellMar>
      </w:tblPr>
      <w:tr>
        <w:trPr>
          <w:trHeight w:val="471"/>
        </w:trPr>
        <w:tc>
          <w:tcPr>
            <w:tcW w:w="7100" w:type="dxa"/>
            <w:vAlign w:val="bottom"/>
          </w:tcPr>
          <w:p>
            <w:pPr>
              <w:jc w:val="center"/>
              <w:ind w:left="1569"/>
              <w:spacing w:after="0"/>
              <w:rPr>
                <w:sz w:val="20"/>
                <w:szCs w:val="20"/>
                <w:color w:val="auto"/>
              </w:rPr>
            </w:pPr>
            <w:r>
              <w:rPr>
                <w:rFonts w:ascii="Arial" w:cs="Arial" w:eastAsia="Arial" w:hAnsi="Arial"/>
                <w:sz w:val="36"/>
                <w:szCs w:val="36"/>
                <w:b w:val="1"/>
                <w:bCs w:val="1"/>
                <w:color w:val="auto"/>
                <w:w w:val="88"/>
              </w:rPr>
              <w:t>Caribou Biosciences, Inc.</w:t>
            </w:r>
          </w:p>
        </w:tc>
        <w:tc>
          <w:tcPr>
            <w:tcW w:w="1120" w:type="dxa"/>
            <w:vAlign w:val="bottom"/>
          </w:tcPr>
          <w:p>
            <w:pPr>
              <w:spacing w:after="0"/>
              <w:rPr>
                <w:sz w:val="24"/>
                <w:szCs w:val="24"/>
                <w:color w:val="auto"/>
              </w:rPr>
            </w:pPr>
          </w:p>
        </w:tc>
      </w:tr>
      <w:tr>
        <w:trPr>
          <w:trHeight w:val="242"/>
        </w:trPr>
        <w:tc>
          <w:tcPr>
            <w:tcW w:w="7100" w:type="dxa"/>
            <w:vAlign w:val="bottom"/>
          </w:tcPr>
          <w:p>
            <w:pPr>
              <w:jc w:val="center"/>
              <w:ind w:left="1589"/>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120" w:type="dxa"/>
            <w:vAlign w:val="bottom"/>
          </w:tcPr>
          <w:p>
            <w:pPr>
              <w:spacing w:after="0"/>
              <w:rPr>
                <w:sz w:val="21"/>
                <w:szCs w:val="21"/>
                <w:color w:val="auto"/>
              </w:rPr>
            </w:pPr>
          </w:p>
        </w:tc>
      </w:tr>
      <w:tr>
        <w:trPr>
          <w:trHeight w:val="230"/>
        </w:trPr>
        <w:tc>
          <w:tcPr>
            <w:tcW w:w="7100" w:type="dxa"/>
            <w:vAlign w:val="bottom"/>
          </w:tcPr>
          <w:p>
            <w:pPr>
              <w:jc w:val="center"/>
              <w:ind w:left="1589"/>
              <w:spacing w:after="0"/>
              <w:rPr>
                <w:sz w:val="20"/>
                <w:szCs w:val="20"/>
                <w:color w:val="auto"/>
              </w:rPr>
            </w:pPr>
            <w:r>
              <w:rPr>
                <w:rFonts w:ascii="Arial" w:cs="Arial" w:eastAsia="Arial" w:hAnsi="Arial"/>
                <w:sz w:val="18"/>
                <w:szCs w:val="18"/>
                <w:color w:val="auto"/>
                <w:w w:val="89"/>
              </w:rPr>
              <w:t>______________________________________</w:t>
            </w:r>
          </w:p>
        </w:tc>
        <w:tc>
          <w:tcPr>
            <w:tcW w:w="1120" w:type="dxa"/>
            <w:vAlign w:val="bottom"/>
          </w:tcPr>
          <w:p>
            <w:pPr>
              <w:spacing w:after="0"/>
              <w:rPr>
                <w:sz w:val="20"/>
                <w:szCs w:val="20"/>
                <w:color w:val="auto"/>
              </w:rPr>
            </w:pPr>
          </w:p>
        </w:tc>
      </w:tr>
      <w:tr>
        <w:trPr>
          <w:trHeight w:val="310"/>
        </w:trPr>
        <w:tc>
          <w:tcPr>
            <w:tcW w:w="7100" w:type="dxa"/>
            <w:vAlign w:val="bottom"/>
          </w:tcPr>
          <w:p>
            <w:pPr>
              <w:jc w:val="center"/>
              <w:ind w:right="4929"/>
              <w:spacing w:after="0"/>
              <w:rPr>
                <w:sz w:val="20"/>
                <w:szCs w:val="20"/>
                <w:color w:val="auto"/>
              </w:rPr>
            </w:pPr>
            <w:r>
              <w:rPr>
                <w:rFonts w:ascii="Arial" w:cs="Arial" w:eastAsia="Arial" w:hAnsi="Arial"/>
                <w:sz w:val="18"/>
                <w:szCs w:val="18"/>
                <w:b w:val="1"/>
                <w:bCs w:val="1"/>
                <w:color w:val="auto"/>
                <w:w w:val="91"/>
              </w:rPr>
              <w:t>Delaware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45-3728228</w:t>
            </w:r>
          </w:p>
        </w:tc>
      </w:tr>
      <w:tr>
        <w:trPr>
          <w:trHeight w:val="184"/>
        </w:trPr>
        <w:tc>
          <w:tcPr>
            <w:tcW w:w="7100" w:type="dxa"/>
            <w:vAlign w:val="bottom"/>
          </w:tcPr>
          <w:p>
            <w:pPr>
              <w:jc w:val="center"/>
              <w:ind w:right="4929"/>
              <w:spacing w:after="0"/>
              <w:rPr>
                <w:sz w:val="20"/>
                <w:szCs w:val="20"/>
                <w:color w:val="auto"/>
              </w:rPr>
            </w:pPr>
            <w:r>
              <w:rPr>
                <w:rFonts w:ascii="Arial" w:cs="Arial" w:eastAsia="Arial" w:hAnsi="Arial"/>
                <w:sz w:val="13"/>
                <w:szCs w:val="13"/>
                <w:b w:val="1"/>
                <w:bCs w:val="1"/>
                <w:color w:val="auto"/>
                <w:w w:val="87"/>
              </w:rPr>
              <w:t>(State or other jurisdiction of</w:t>
            </w:r>
          </w:p>
        </w:tc>
        <w:tc>
          <w:tcPr>
            <w:tcW w:w="1120" w:type="dxa"/>
            <w:vAlign w:val="bottom"/>
          </w:tcPr>
          <w:p>
            <w:pPr>
              <w:jc w:val="center"/>
              <w:ind w:left="66"/>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7100" w:type="dxa"/>
            <w:vAlign w:val="bottom"/>
          </w:tcPr>
          <w:p>
            <w:pPr>
              <w:jc w:val="center"/>
              <w:ind w:right="4929"/>
              <w:spacing w:after="0"/>
              <w:rPr>
                <w:sz w:val="20"/>
                <w:szCs w:val="20"/>
                <w:color w:val="auto"/>
              </w:rPr>
            </w:pPr>
            <w:r>
              <w:rPr>
                <w:rFonts w:ascii="Arial" w:cs="Arial" w:eastAsia="Arial" w:hAnsi="Arial"/>
                <w:sz w:val="13"/>
                <w:szCs w:val="13"/>
                <w:b w:val="1"/>
                <w:bCs w:val="1"/>
                <w:color w:val="auto"/>
                <w:w w:val="88"/>
              </w:rPr>
              <w:t>incorporation or organization)</w:t>
            </w:r>
          </w:p>
        </w:tc>
        <w:tc>
          <w:tcPr>
            <w:tcW w:w="1120" w:type="dxa"/>
            <w:vAlign w:val="bottom"/>
          </w:tcPr>
          <w:p>
            <w:pPr>
              <w:jc w:val="center"/>
              <w:ind w:left="66"/>
              <w:spacing w:after="0"/>
              <w:rPr>
                <w:sz w:val="20"/>
                <w:szCs w:val="20"/>
                <w:color w:val="auto"/>
              </w:rPr>
            </w:pPr>
            <w:r>
              <w:rPr>
                <w:rFonts w:ascii="Arial" w:cs="Arial" w:eastAsia="Arial" w:hAnsi="Arial"/>
                <w:sz w:val="13"/>
                <w:szCs w:val="13"/>
                <w:b w:val="1"/>
                <w:bCs w:val="1"/>
                <w:color w:val="auto"/>
                <w:w w:val="89"/>
              </w:rPr>
              <w:t>Identification No.)</w:t>
            </w:r>
          </w:p>
        </w:tc>
      </w:tr>
      <w:tr>
        <w:trPr>
          <w:trHeight w:val="322"/>
        </w:trPr>
        <w:tc>
          <w:tcPr>
            <w:tcW w:w="7100" w:type="dxa"/>
            <w:vAlign w:val="bottom"/>
          </w:tcPr>
          <w:p>
            <w:pPr>
              <w:jc w:val="center"/>
              <w:ind w:right="4929"/>
              <w:spacing w:after="0"/>
              <w:rPr>
                <w:sz w:val="20"/>
                <w:szCs w:val="20"/>
                <w:color w:val="auto"/>
              </w:rPr>
            </w:pPr>
            <w:r>
              <w:rPr>
                <w:rFonts w:ascii="Arial" w:cs="Arial" w:eastAsia="Arial" w:hAnsi="Arial"/>
                <w:sz w:val="18"/>
                <w:szCs w:val="18"/>
                <w:b w:val="1"/>
                <w:bCs w:val="1"/>
                <w:color w:val="auto"/>
                <w:w w:val="90"/>
              </w:rPr>
              <w:t>2929 7th Street, Suite 105</w:t>
            </w:r>
          </w:p>
        </w:tc>
        <w:tc>
          <w:tcPr>
            <w:tcW w:w="1120" w:type="dxa"/>
            <w:vAlign w:val="bottom"/>
          </w:tcPr>
          <w:p>
            <w:pPr>
              <w:spacing w:after="0"/>
              <w:rPr>
                <w:sz w:val="24"/>
                <w:szCs w:val="24"/>
                <w:color w:val="auto"/>
              </w:rPr>
            </w:pPr>
          </w:p>
        </w:tc>
      </w:tr>
      <w:tr>
        <w:trPr>
          <w:trHeight w:val="248"/>
        </w:trPr>
        <w:tc>
          <w:tcPr>
            <w:tcW w:w="7100" w:type="dxa"/>
            <w:vAlign w:val="bottom"/>
          </w:tcPr>
          <w:p>
            <w:pPr>
              <w:jc w:val="center"/>
              <w:ind w:right="4929"/>
              <w:spacing w:after="0"/>
              <w:rPr>
                <w:sz w:val="20"/>
                <w:szCs w:val="20"/>
                <w:color w:val="auto"/>
              </w:rPr>
            </w:pPr>
            <w:r>
              <w:rPr>
                <w:rFonts w:ascii="Arial" w:cs="Arial" w:eastAsia="Arial" w:hAnsi="Arial"/>
                <w:sz w:val="18"/>
                <w:szCs w:val="18"/>
                <w:b w:val="1"/>
                <w:bCs w:val="1"/>
                <w:color w:val="auto"/>
                <w:w w:val="92"/>
              </w:rPr>
              <w:t>Berkeley, California</w:t>
            </w:r>
          </w:p>
        </w:tc>
        <w:tc>
          <w:tcPr>
            <w:tcW w:w="1120" w:type="dxa"/>
            <w:vAlign w:val="bottom"/>
          </w:tcPr>
          <w:p>
            <w:pPr>
              <w:jc w:val="right"/>
              <w:ind w:right="186"/>
              <w:spacing w:after="0"/>
              <w:rPr>
                <w:sz w:val="20"/>
                <w:szCs w:val="20"/>
                <w:color w:val="auto"/>
              </w:rPr>
            </w:pPr>
            <w:r>
              <w:rPr>
                <w:rFonts w:ascii="Arial" w:cs="Arial" w:eastAsia="Arial" w:hAnsi="Arial"/>
                <w:sz w:val="18"/>
                <w:szCs w:val="18"/>
                <w:b w:val="1"/>
                <w:bCs w:val="1"/>
                <w:color w:val="auto"/>
              </w:rPr>
              <w:t>94710</w:t>
            </w:r>
          </w:p>
        </w:tc>
      </w:tr>
      <w:tr>
        <w:trPr>
          <w:trHeight w:val="186"/>
        </w:trPr>
        <w:tc>
          <w:tcPr>
            <w:tcW w:w="7100" w:type="dxa"/>
            <w:vAlign w:val="bottom"/>
          </w:tcPr>
          <w:p>
            <w:pPr>
              <w:jc w:val="center"/>
              <w:ind w:right="492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120" w:type="dxa"/>
            <w:vAlign w:val="bottom"/>
          </w:tcPr>
          <w:p>
            <w:pPr>
              <w:jc w:val="center"/>
              <w:ind w:left="66"/>
              <w:spacing w:after="0"/>
              <w:rPr>
                <w:sz w:val="20"/>
                <w:szCs w:val="20"/>
                <w:color w:val="auto"/>
              </w:rPr>
            </w:pPr>
            <w:r>
              <w:rPr>
                <w:rFonts w:ascii="Arial" w:cs="Arial" w:eastAsia="Arial" w:hAnsi="Arial"/>
                <w:sz w:val="13"/>
                <w:szCs w:val="13"/>
                <w:b w:val="1"/>
                <w:bCs w:val="1"/>
                <w:color w:val="auto"/>
                <w:w w:val="90"/>
              </w:rPr>
              <w:t>(Zip Code)</w:t>
            </w:r>
          </w:p>
        </w:tc>
      </w:tr>
      <w:tr>
        <w:trPr>
          <w:trHeight w:val="366"/>
        </w:trPr>
        <w:tc>
          <w:tcPr>
            <w:tcW w:w="7100" w:type="dxa"/>
            <w:vAlign w:val="bottom"/>
          </w:tcPr>
          <w:p>
            <w:pPr>
              <w:jc w:val="center"/>
              <w:ind w:left="1569"/>
              <w:spacing w:after="0"/>
              <w:rPr>
                <w:sz w:val="20"/>
                <w:szCs w:val="20"/>
                <w:color w:val="auto"/>
              </w:rPr>
            </w:pPr>
            <w:r>
              <w:rPr>
                <w:rFonts w:ascii="Arial" w:cs="Arial" w:eastAsia="Arial" w:hAnsi="Arial"/>
                <w:sz w:val="18"/>
                <w:szCs w:val="18"/>
                <w:b w:val="1"/>
                <w:bCs w:val="1"/>
                <w:color w:val="auto"/>
                <w:w w:val="89"/>
              </w:rPr>
              <w:t>Registrant’s telephone number, including area code: (510) 982-6030</w:t>
            </w:r>
          </w:p>
        </w:tc>
        <w:tc>
          <w:tcPr>
            <w:tcW w:w="1120" w:type="dxa"/>
            <w:vAlign w:val="bottom"/>
          </w:tcPr>
          <w:p>
            <w:pPr>
              <w:spacing w:after="0"/>
              <w:rPr>
                <w:sz w:val="24"/>
                <w:szCs w:val="24"/>
                <w:color w:val="auto"/>
              </w:rPr>
            </w:pPr>
          </w:p>
        </w:tc>
      </w:tr>
      <w:tr>
        <w:trPr>
          <w:trHeight w:val="230"/>
        </w:trPr>
        <w:tc>
          <w:tcPr>
            <w:tcW w:w="7100" w:type="dxa"/>
            <w:vAlign w:val="bottom"/>
          </w:tcPr>
          <w:p>
            <w:pPr>
              <w:jc w:val="center"/>
              <w:ind w:left="1589"/>
              <w:spacing w:after="0"/>
              <w:rPr>
                <w:sz w:val="20"/>
                <w:szCs w:val="20"/>
                <w:color w:val="auto"/>
              </w:rPr>
            </w:pPr>
            <w:r>
              <w:rPr>
                <w:rFonts w:ascii="Arial" w:cs="Arial" w:eastAsia="Arial" w:hAnsi="Arial"/>
                <w:sz w:val="18"/>
                <w:szCs w:val="18"/>
                <w:color w:val="auto"/>
                <w:w w:val="89"/>
              </w:rPr>
              <w:t>______________________________________</w:t>
            </w:r>
          </w:p>
        </w:tc>
        <w:tc>
          <w:tcPr>
            <w:tcW w:w="1120" w:type="dxa"/>
            <w:vAlign w:val="bottom"/>
          </w:tcPr>
          <w:p>
            <w:pPr>
              <w:spacing w:after="0"/>
              <w:rPr>
                <w:sz w:val="20"/>
                <w:szCs w:val="20"/>
                <w:color w:val="auto"/>
              </w:rPr>
            </w:pPr>
          </w:p>
        </w:tc>
      </w:tr>
    </w:tbl>
    <w:p>
      <w:pPr>
        <w:spacing w:after="0" w:line="4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6"/>
                <w:szCs w:val="16"/>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0"/>
        </w:trPr>
        <w:tc>
          <w:tcPr>
            <w:tcW w:w="4380" w:type="dxa"/>
            <w:vAlign w:val="bottom"/>
          </w:tcPr>
          <w:p>
            <w:pPr>
              <w:ind w:left="20"/>
              <w:spacing w:after="0"/>
              <w:rPr>
                <w:sz w:val="20"/>
                <w:szCs w:val="20"/>
                <w:color w:val="auto"/>
              </w:rPr>
            </w:pPr>
            <w:r>
              <w:rPr>
                <w:rFonts w:ascii="Arial" w:cs="Arial" w:eastAsia="Arial" w:hAnsi="Arial"/>
                <w:sz w:val="14"/>
                <w:szCs w:val="14"/>
                <w:color w:val="auto"/>
              </w:rPr>
              <w:t>Common Stock, par value $0.0001 per share</w:t>
            </w:r>
          </w:p>
        </w:tc>
        <w:tc>
          <w:tcPr>
            <w:tcW w:w="10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CRBU</w:t>
            </w:r>
          </w:p>
        </w:tc>
        <w:tc>
          <w:tcPr>
            <w:tcW w:w="1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151"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4" w:lineRule="exact"/>
        <w:rPr>
          <w:sz w:val="24"/>
          <w:szCs w:val="24"/>
          <w:color w:val="auto"/>
        </w:rPr>
      </w:pPr>
    </w:p>
    <w:p>
      <w:pPr>
        <w:ind w:right="40" w:firstLine="648"/>
        <w:spacing w:after="0" w:line="30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ind w:right="100"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680"/>
              <w:spacing w:after="0"/>
              <w:rPr>
                <w:sz w:val="20"/>
                <w:szCs w:val="20"/>
                <w:color w:val="auto"/>
              </w:rPr>
            </w:pPr>
            <w:r>
              <w:rPr>
                <w:rFonts w:ascii="Arial" w:cs="Arial" w:eastAsia="Arial" w:hAnsi="Arial"/>
                <w:sz w:val="16"/>
                <w:szCs w:val="16"/>
                <w:color w:val="auto"/>
              </w:rPr>
              <w:t>o</w:t>
            </w:r>
          </w:p>
        </w:tc>
        <w:tc>
          <w:tcPr>
            <w:tcW w:w="474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40"/>
              <w:spacing w:after="0"/>
              <w:rPr>
                <w:sz w:val="20"/>
                <w:szCs w:val="20"/>
                <w:color w:val="auto"/>
              </w:rPr>
            </w:pPr>
            <w:r>
              <w:rPr>
                <w:rFonts w:ascii="Arial" w:cs="Arial" w:eastAsia="Arial" w:hAnsi="Arial"/>
                <w:sz w:val="16"/>
                <w:szCs w:val="16"/>
                <w:color w:val="auto"/>
                <w:w w:val="89"/>
              </w:rPr>
              <w:t>o</w:t>
            </w:r>
          </w:p>
        </w:tc>
      </w:tr>
      <w:tr>
        <w:trPr>
          <w:trHeight w:val="216"/>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680"/>
              <w:spacing w:after="0"/>
              <w:rPr>
                <w:sz w:val="20"/>
                <w:szCs w:val="20"/>
                <w:color w:val="auto"/>
              </w:rPr>
            </w:pPr>
            <w:r>
              <w:rPr>
                <w:rFonts w:ascii="Arial" w:cs="Arial" w:eastAsia="Arial" w:hAnsi="Arial"/>
                <w:sz w:val="16"/>
                <w:szCs w:val="16"/>
                <w:color w:val="auto"/>
              </w:rPr>
              <w:t>x</w:t>
            </w:r>
          </w:p>
        </w:tc>
        <w:tc>
          <w:tcPr>
            <w:tcW w:w="474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40"/>
              <w:spacing w:after="0"/>
              <w:rPr>
                <w:sz w:val="20"/>
                <w:szCs w:val="20"/>
                <w:color w:val="auto"/>
              </w:rPr>
            </w:pPr>
            <w:r>
              <w:rPr>
                <w:rFonts w:ascii="Arial" w:cs="Arial" w:eastAsia="Arial" w:hAnsi="Arial"/>
                <w:sz w:val="16"/>
                <w:szCs w:val="16"/>
                <w:color w:val="auto"/>
                <w:w w:val="99"/>
              </w:rPr>
              <w:t>x</w:t>
            </w:r>
          </w:p>
        </w:tc>
      </w:tr>
      <w:tr>
        <w:trPr>
          <w:trHeight w:val="229"/>
        </w:trPr>
        <w:tc>
          <w:tcPr>
            <w:tcW w:w="21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74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40"/>
              <w:spacing w:after="0"/>
              <w:rPr>
                <w:sz w:val="20"/>
                <w:szCs w:val="20"/>
                <w:color w:val="auto"/>
              </w:rPr>
            </w:pPr>
            <w:r>
              <w:rPr>
                <w:rFonts w:ascii="Arial" w:cs="Arial" w:eastAsia="Arial" w:hAnsi="Arial"/>
                <w:sz w:val="16"/>
                <w:szCs w:val="16"/>
                <w:color w:val="auto"/>
                <w:w w:val="99"/>
              </w:rPr>
              <w:t>x</w:t>
            </w:r>
          </w:p>
        </w:tc>
      </w:tr>
    </w:tbl>
    <w:p>
      <w:pPr>
        <w:spacing w:after="0" w:line="145" w:lineRule="exact"/>
        <w:rPr>
          <w:sz w:val="24"/>
          <w:szCs w:val="24"/>
          <w:color w:val="auto"/>
        </w:rPr>
      </w:pPr>
    </w:p>
    <w:p>
      <w:pPr>
        <w:jc w:val="both"/>
        <w:ind w:right="440" w:firstLine="648"/>
        <w:spacing w:after="0" w:line="29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660" w:right="2480"/>
        <w:spacing w:after="0" w:line="430"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 As of August 3, 2023, the registrant had 88,284,776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189"/>
        </w:trPr>
        <w:tc>
          <w:tcPr>
            <w:tcW w:w="138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PART I.</w:t>
            </w:r>
          </w:p>
        </w:tc>
        <w:tc>
          <w:tcPr>
            <w:tcW w:w="9020" w:type="dxa"/>
            <w:vAlign w:val="bottom"/>
            <w:gridSpan w:val="16"/>
          </w:tcPr>
          <w:p>
            <w:pPr>
              <w:spacing w:after="0" w:line="189" w:lineRule="exact"/>
              <w:rPr>
                <w:sz w:val="20"/>
                <w:szCs w:val="20"/>
                <w:color w:val="auto"/>
              </w:rPr>
            </w:pPr>
            <w:r>
              <w:rPr>
                <w:rFonts w:ascii="Arial" w:cs="Arial" w:eastAsia="Arial" w:hAnsi="Arial"/>
                <w:sz w:val="18"/>
                <w:szCs w:val="18"/>
                <w:color w:val="0000FF"/>
              </w:rPr>
              <w:t>FINANCIAL INFORMATION</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13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Financial Statements (Unaudited)</w:t>
            </w:r>
          </w:p>
        </w:tc>
        <w:tc>
          <w:tcPr>
            <w:tcW w:w="6600" w:type="dxa"/>
            <w:vAlign w:val="bottom"/>
            <w:gridSpan w:val="9"/>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7"/>
              </w:rPr>
              <w:t>Condensed Consolidated Balance Sheets</w:t>
            </w:r>
          </w:p>
        </w:tc>
        <w:tc>
          <w:tcPr>
            <w:tcW w:w="6080" w:type="dxa"/>
            <w:vAlign w:val="bottom"/>
            <w:gridSpan w:val="8"/>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2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6"/>
        </w:trPr>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89"/>
              </w:rPr>
              <w:t>Condensed Consolidated Statements of Stockholders’ Equity</w:t>
            </w:r>
          </w:p>
        </w:tc>
        <w:tc>
          <w:tcPr>
            <w:tcW w:w="40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9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530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20" w:type="dxa"/>
            <w:vAlign w:val="bottom"/>
            <w:gridSpan w:val="16"/>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13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2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13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4"/>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3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Controls and Procedures</w:t>
            </w:r>
          </w:p>
        </w:tc>
        <w:tc>
          <w:tcPr>
            <w:tcW w:w="7240" w:type="dxa"/>
            <w:vAlign w:val="bottom"/>
            <w:gridSpan w:val="12"/>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02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13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8"/>
              </w:rPr>
              <w:t>Legal Proceedings</w:t>
            </w:r>
          </w:p>
        </w:tc>
        <w:tc>
          <w:tcPr>
            <w:tcW w:w="540" w:type="dxa"/>
            <w:vAlign w:val="bottom"/>
            <w:tcBorders>
              <w:top w:val="single" w:sz="8" w:color="0000FF"/>
            </w:tcBorders>
            <w:gridSpan w:val="2"/>
          </w:tcPr>
          <w:p>
            <w:pPr>
              <w:spacing w:after="0"/>
              <w:rPr>
                <w:sz w:val="19"/>
                <w:szCs w:val="19"/>
                <w:color w:val="auto"/>
              </w:rPr>
            </w:pPr>
          </w:p>
        </w:tc>
        <w:tc>
          <w:tcPr>
            <w:tcW w:w="7140" w:type="dxa"/>
            <w:vAlign w:val="bottom"/>
            <w:gridSpan w:val="11"/>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13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2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13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2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13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Exhibits</w:t>
            </w:r>
          </w:p>
        </w:tc>
        <w:tc>
          <w:tcPr>
            <w:tcW w:w="4680" w:type="dxa"/>
            <w:vAlign w:val="bottom"/>
            <w:gridSpan w:val="6"/>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13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7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9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58,338</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Marketable securities, short-term</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193,038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189,325</w:t>
            </w:r>
          </w:p>
        </w:tc>
      </w:tr>
      <w:tr>
        <w:trPr>
          <w:trHeight w:val="24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2,247</w:t>
            </w:r>
          </w:p>
        </w:tc>
      </w:tr>
      <w:tr>
        <w:trPr>
          <w:trHeight w:val="24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260,248</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in equity securities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Marketable securities, long-term</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69,373</w:t>
            </w:r>
          </w:p>
        </w:tc>
      </w:tr>
      <w:tr>
        <w:trPr>
          <w:trHeight w:val="24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Operating lease, right of use assets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24,230</w:t>
            </w:r>
          </w:p>
        </w:tc>
      </w:tr>
      <w:tr>
        <w:trPr>
          <w:trHeight w:val="243"/>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r>
      <w:tr>
        <w:trPr>
          <w:trHeight w:val="236"/>
        </w:trPr>
        <w:tc>
          <w:tcPr>
            <w:tcW w:w="81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349,647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373,765</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16,079</w:t>
            </w:r>
          </w:p>
        </w:tc>
      </w:tr>
      <w:tr>
        <w:trPr>
          <w:trHeight w:val="24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 current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Deferred revenue ($2,487 and $150 from related party, respectively)</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9,937</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28,128</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net of current portion ($4,973 and $0 from related party, respectively)</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15,954</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MSKCC success payments liability</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1,651</w:t>
            </w:r>
          </w:p>
        </w:tc>
      </w:tr>
      <w:tr>
        <w:trPr>
          <w:trHeight w:val="24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 non-current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26,780</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36"/>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72,894</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COMMITMENTS AND CONTINGENCIES (Note 9)</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188"/>
        </w:trPr>
        <w:tc>
          <w:tcPr>
            <w:tcW w:w="8160" w:type="dxa"/>
            <w:vAlign w:val="bottom"/>
          </w:tcPr>
          <w:p>
            <w:pPr>
              <w:ind w:left="180"/>
              <w:spacing w:after="0" w:line="189" w:lineRule="exact"/>
              <w:rPr>
                <w:sz w:val="20"/>
                <w:szCs w:val="20"/>
                <w:color w:val="auto"/>
              </w:rPr>
            </w:pPr>
            <w:r>
              <w:rPr>
                <w:rFonts w:ascii="Arial" w:cs="Arial" w:eastAsia="Arial" w:hAnsi="Arial"/>
                <w:sz w:val="18"/>
                <w:szCs w:val="18"/>
                <w:color w:val="auto"/>
              </w:rPr>
              <w:t>Preferred stock, par value $0.0001 per share, 10,000,000 shares authorized at June 30, 2023 and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w w:val="99"/>
              </w:rPr>
              <w:t>December 31, 2022; no shares issued and outstanding as of June 30, 2023 and December 31, 2022</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5"/>
        </w:trPr>
        <w:tc>
          <w:tcPr>
            <w:tcW w:w="81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Common stock, par value $0.0001 per share, 300,000,000 shares authorized at June 30, 2023 and</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9"/>
        </w:trPr>
        <w:tc>
          <w:tcPr>
            <w:tcW w:w="81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2"/>
              </w:rPr>
              <w:t>December 31, 2022, respectively; 66,100,039 and 61,029,184 shares issued and outstanding as of June 30,</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44"/>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 and December 31, 2022, respectively</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525,366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499,598</w:t>
            </w:r>
          </w:p>
        </w:tc>
      </w:tr>
      <w:tr>
        <w:trPr>
          <w:trHeight w:val="24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37"/>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(254,778)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(197,215)</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269,458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300,871</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349,647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373,765</w:t>
            </w:r>
          </w:p>
        </w:tc>
      </w:tr>
      <w:tr>
        <w:trPr>
          <w:trHeight w:val="27"/>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0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2"/>
              </w:rPr>
              <w:t>Licensing and collaboration revenue (including $1,150 for three and</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7"/>
              </w:rPr>
              <w:t>six months ended June 2023 from related party, and none for all</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periods)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36,503</w:t>
            </w:r>
          </w:p>
        </w:tc>
        <w:tc>
          <w:tcPr>
            <w:tcW w:w="0" w:type="dxa"/>
            <w:vAlign w:val="bottom"/>
          </w:tcPr>
          <w:p>
            <w:pPr>
              <w:spacing w:after="0"/>
              <w:rPr>
                <w:sz w:val="1"/>
                <w:szCs w:val="1"/>
                <w:color w:val="auto"/>
              </w:rPr>
            </w:pP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56,140</w:t>
            </w:r>
          </w:p>
        </w:tc>
        <w:tc>
          <w:tcPr>
            <w:tcW w:w="0" w:type="dxa"/>
            <w:vAlign w:val="bottom"/>
          </w:tcPr>
          <w:p>
            <w:pPr>
              <w:spacing w:after="0"/>
              <w:rPr>
                <w:sz w:val="1"/>
                <w:szCs w:val="1"/>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(49,284)</w:t>
            </w:r>
          </w:p>
        </w:tc>
        <w:tc>
          <w:tcPr>
            <w:tcW w:w="0" w:type="dxa"/>
            <w:vAlign w:val="bottom"/>
          </w:tcPr>
          <w:p>
            <w:pPr>
              <w:spacing w:after="0"/>
              <w:rPr>
                <w:sz w:val="1"/>
                <w:szCs w:val="1"/>
                <w:color w:val="auto"/>
              </w:rPr>
            </w:pPr>
          </w:p>
        </w:tc>
      </w:tr>
      <w:tr>
        <w:trPr>
          <w:trHeight w:val="24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Change in fair value of equity securities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9"/>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Change in fair value of the MSKCC success payments liability</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income</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(29,519)</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(57,563)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(45,785)</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000" w:type="dxa"/>
            <w:vAlign w:val="bottom"/>
          </w:tcPr>
          <w:p>
            <w:pPr>
              <w:ind w:left="180"/>
              <w:spacing w:after="0" w:line="189" w:lineRule="exact"/>
              <w:rPr>
                <w:sz w:val="20"/>
                <w:szCs w:val="20"/>
                <w:color w:val="auto"/>
              </w:rPr>
            </w:pPr>
            <w:r>
              <w:rPr>
                <w:rFonts w:ascii="Arial" w:cs="Arial" w:eastAsia="Arial" w:hAnsi="Arial"/>
                <w:sz w:val="18"/>
                <w:szCs w:val="18"/>
                <w:color w:val="auto"/>
              </w:rPr>
              <w:t>Net unrealized gain (loss) on available-for-sale marketable</w:t>
            </w: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comprehensive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(47,231)</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vMerge w:val="continue"/>
          </w:tcPr>
          <w:p>
            <w:pPr>
              <w:spacing w:after="0"/>
              <w:rPr>
                <w:sz w:val="18"/>
                <w:szCs w:val="18"/>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Weighted-average common shares outstanding, basic and diluted</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61,417,934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60,757,689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61,302,863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60,652,532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170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Additional Paid-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8"/>
              <w:spacing w:after="0"/>
              <w:rPr>
                <w:sz w:val="20"/>
                <w:szCs w:val="20"/>
                <w:color w:val="auto"/>
              </w:rPr>
            </w:pPr>
            <w:r>
              <w:rPr>
                <w:rFonts w:ascii="Arial" w:cs="Arial" w:eastAsia="Arial" w:hAnsi="Arial"/>
                <w:sz w:val="13"/>
                <w:szCs w:val="13"/>
                <w:b w:val="1"/>
                <w:bCs w:val="1"/>
                <w:color w:val="auto"/>
                <w:w w:val="90"/>
              </w:rPr>
              <w:t>Accumulated 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44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jc w:val="center"/>
              <w:ind w:right="138"/>
              <w:spacing w:after="0" w:line="68" w:lineRule="exact"/>
              <w:rPr>
                <w:sz w:val="20"/>
                <w:szCs w:val="20"/>
                <w:color w:val="auto"/>
              </w:rPr>
            </w:pPr>
            <w:r>
              <w:rPr>
                <w:rFonts w:ascii="Arial" w:cs="Arial" w:eastAsia="Arial" w:hAnsi="Arial"/>
                <w:sz w:val="7"/>
                <w:szCs w:val="7"/>
                <w:b w:val="1"/>
                <w:bCs w:val="1"/>
                <w:color w:val="auto"/>
              </w:rPr>
              <w:t>In</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jc w:val="center"/>
              <w:ind w:right="18"/>
              <w:spacing w:after="0" w:line="68" w:lineRule="exact"/>
              <w:rPr>
                <w:sz w:val="20"/>
                <w:szCs w:val="20"/>
                <w:color w:val="auto"/>
              </w:rPr>
            </w:pPr>
            <w:r>
              <w:rPr>
                <w:rFonts w:ascii="Arial" w:cs="Arial" w:eastAsia="Arial" w:hAnsi="Arial"/>
                <w:sz w:val="7"/>
                <w:szCs w:val="7"/>
                <w:b w:val="1"/>
                <w:bCs w:val="1"/>
                <w:color w:val="auto"/>
              </w:rPr>
              <w:t>Comprehensive</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jc w:val="right"/>
              <w:ind w:right="158"/>
              <w:spacing w:after="0" w:line="68" w:lineRule="exact"/>
              <w:rPr>
                <w:sz w:val="20"/>
                <w:szCs w:val="20"/>
                <w:color w:val="auto"/>
              </w:rPr>
            </w:pPr>
            <w:r>
              <w:rPr>
                <w:rFonts w:ascii="Arial" w:cs="Arial" w:eastAsia="Arial" w:hAnsi="Arial"/>
                <w:sz w:val="7"/>
                <w:szCs w:val="7"/>
                <w:b w:val="1"/>
                <w:bCs w:val="1"/>
                <w:color w:val="auto"/>
              </w:rPr>
              <w:t>Accumulated</w:t>
            </w:r>
          </w:p>
        </w:tc>
        <w:tc>
          <w:tcPr>
            <w:tcW w:w="100" w:type="dxa"/>
            <w:vAlign w:val="bottom"/>
          </w:tcPr>
          <w:p>
            <w:pPr>
              <w:spacing w:after="0"/>
              <w:rPr>
                <w:sz w:val="5"/>
                <w:szCs w:val="5"/>
                <w:color w:val="auto"/>
              </w:rPr>
            </w:pPr>
          </w:p>
        </w:tc>
        <w:tc>
          <w:tcPr>
            <w:tcW w:w="1120" w:type="dxa"/>
            <w:vAlign w:val="bottom"/>
            <w:gridSpan w:val="2"/>
          </w:tcPr>
          <w:p>
            <w:pPr>
              <w:jc w:val="right"/>
              <w:spacing w:after="0" w:line="68" w:lineRule="exact"/>
              <w:rPr>
                <w:sz w:val="20"/>
                <w:szCs w:val="20"/>
                <w:color w:val="auto"/>
              </w:rPr>
            </w:pPr>
            <w:r>
              <w:rPr>
                <w:rFonts w:ascii="Arial" w:cs="Arial" w:eastAsia="Arial" w:hAnsi="Arial"/>
                <w:sz w:val="7"/>
                <w:szCs w:val="7"/>
                <w:b w:val="1"/>
                <w:bCs w:val="1"/>
                <w:color w:val="auto"/>
              </w:rPr>
              <w:t>Total Stockholders’</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920" w:type="dxa"/>
            <w:vAlign w:val="bottom"/>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38"/>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8"/>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38"/>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5"/>
        </w:trPr>
        <w:tc>
          <w:tcPr>
            <w:tcW w:w="4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BALANCE—December 31, 2022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61,029,184</w:t>
            </w:r>
          </w:p>
        </w:tc>
        <w:tc>
          <w:tcPr>
            <w:tcW w:w="780" w:type="dxa"/>
            <w:vAlign w:val="bottom"/>
            <w:tcBorders>
              <w:bottom w:val="single" w:sz="8" w:color="CCEEFF"/>
            </w:tcBorders>
            <w:gridSpan w:val="2"/>
            <w:shd w:val="clear" w:color="auto" w:fill="CCEEFF"/>
          </w:tcPr>
          <w:p>
            <w:pPr>
              <w:jc w:val="right"/>
              <w:ind w:right="53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2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499,598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(1,518)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(197,215)</w:t>
            </w:r>
          </w:p>
        </w:tc>
        <w:tc>
          <w:tcPr>
            <w:tcW w:w="32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300,871</w:t>
            </w:r>
          </w:p>
        </w:tc>
        <w:tc>
          <w:tcPr>
            <w:tcW w:w="0" w:type="dxa"/>
            <w:vAlign w:val="bottom"/>
          </w:tcPr>
          <w:p>
            <w:pPr>
              <w:spacing w:after="0"/>
              <w:rPr>
                <w:sz w:val="1"/>
                <w:szCs w:val="1"/>
                <w:color w:val="auto"/>
              </w:rPr>
            </w:pPr>
          </w:p>
        </w:tc>
      </w:tr>
      <w:tr>
        <w:trPr>
          <w:trHeight w:val="160"/>
        </w:trPr>
        <w:tc>
          <w:tcPr>
            <w:tcW w:w="4440" w:type="dxa"/>
            <w:vAlign w:val="bottom"/>
          </w:tcPr>
          <w:p>
            <w:pPr>
              <w:ind w:left="180"/>
              <w:spacing w:after="0"/>
              <w:rPr>
                <w:sz w:val="20"/>
                <w:szCs w:val="20"/>
                <w:color w:val="auto"/>
              </w:rPr>
            </w:pPr>
            <w:r>
              <w:rPr>
                <w:rFonts w:ascii="Arial" w:cs="Arial" w:eastAsia="Arial" w:hAnsi="Arial"/>
                <w:sz w:val="13"/>
                <w:szCs w:val="13"/>
                <w:color w:val="auto"/>
              </w:rPr>
              <w:t>Issuance of common stock under employee stock plans</w:t>
            </w:r>
          </w:p>
        </w:tc>
        <w:tc>
          <w:tcPr>
            <w:tcW w:w="920" w:type="dxa"/>
            <w:vAlign w:val="bottom"/>
          </w:tcPr>
          <w:p>
            <w:pPr>
              <w:jc w:val="right"/>
              <w:spacing w:after="0"/>
              <w:rPr>
                <w:sz w:val="20"/>
                <w:szCs w:val="20"/>
                <w:color w:val="auto"/>
              </w:rPr>
            </w:pPr>
            <w:r>
              <w:rPr>
                <w:rFonts w:ascii="Arial" w:cs="Arial" w:eastAsia="Arial" w:hAnsi="Arial"/>
                <w:sz w:val="13"/>
                <w:szCs w:val="13"/>
                <w:color w:val="auto"/>
              </w:rPr>
              <w:t>70,271</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Issuance of common stock on exercise of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55,433</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22"/>
        </w:trPr>
        <w:tc>
          <w:tcPr>
            <w:tcW w:w="4440" w:type="dxa"/>
            <w:vAlign w:val="bottom"/>
          </w:tcPr>
          <w:p>
            <w:pPr>
              <w:ind w:left="180"/>
              <w:spacing w:after="0" w:line="122" w:lineRule="exact"/>
              <w:rPr>
                <w:sz w:val="20"/>
                <w:szCs w:val="20"/>
                <w:color w:val="auto"/>
              </w:rPr>
            </w:pPr>
            <w:r>
              <w:rPr>
                <w:rFonts w:ascii="Arial" w:cs="Arial" w:eastAsia="Arial" w:hAnsi="Arial"/>
                <w:sz w:val="13"/>
                <w:szCs w:val="13"/>
                <w:color w:val="auto"/>
                <w:w w:val="98"/>
              </w:rPr>
              <w:t>Issuance of common stock in connection with at-the-market offering, net of</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168,635</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1,007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1,007</w:t>
            </w:r>
          </w:p>
        </w:tc>
        <w:tc>
          <w:tcPr>
            <w:tcW w:w="0" w:type="dxa"/>
            <w:vAlign w:val="bottom"/>
          </w:tcPr>
          <w:p>
            <w:pPr>
              <w:spacing w:after="0"/>
              <w:rPr>
                <w:sz w:val="1"/>
                <w:szCs w:val="1"/>
                <w:color w:val="auto"/>
              </w:rPr>
            </w:pPr>
          </w:p>
        </w:tc>
      </w:tr>
      <w:tr>
        <w:trPr>
          <w:trHeight w:val="160"/>
        </w:trPr>
        <w:tc>
          <w:tcPr>
            <w:tcW w:w="4440" w:type="dxa"/>
            <w:vAlign w:val="bottom"/>
          </w:tcPr>
          <w:p>
            <w:pPr>
              <w:ind w:left="180"/>
              <w:spacing w:after="0"/>
              <w:rPr>
                <w:sz w:val="20"/>
                <w:szCs w:val="20"/>
                <w:color w:val="auto"/>
              </w:rPr>
            </w:pPr>
            <w:r>
              <w:rPr>
                <w:rFonts w:ascii="Arial" w:cs="Arial" w:eastAsia="Arial" w:hAnsi="Arial"/>
                <w:sz w:val="13"/>
                <w:szCs w:val="13"/>
                <w:color w:val="auto"/>
              </w:rPr>
              <w:t>offering expenses</w:t>
            </w: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3,131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3,131</w:t>
            </w:r>
          </w:p>
        </w:tc>
        <w:tc>
          <w:tcPr>
            <w:tcW w:w="0" w:type="dxa"/>
            <w:vAlign w:val="bottom"/>
          </w:tcPr>
          <w:p>
            <w:pPr>
              <w:spacing w:after="0"/>
              <w:rPr>
                <w:sz w:val="1"/>
                <w:szCs w:val="1"/>
                <w:color w:val="auto"/>
              </w:rPr>
            </w:pPr>
          </w:p>
        </w:tc>
      </w:tr>
      <w:tr>
        <w:trPr>
          <w:trHeight w:val="160"/>
        </w:trPr>
        <w:tc>
          <w:tcPr>
            <w:tcW w:w="4440" w:type="dxa"/>
            <w:vAlign w:val="bottom"/>
          </w:tcPr>
          <w:p>
            <w:pPr>
              <w:ind w:left="180"/>
              <w:spacing w:after="0"/>
              <w:rPr>
                <w:sz w:val="20"/>
                <w:szCs w:val="20"/>
                <w:color w:val="auto"/>
              </w:rPr>
            </w:pPr>
            <w:r>
              <w:rPr>
                <w:rFonts w:ascii="Arial" w:cs="Arial" w:eastAsia="Arial" w:hAnsi="Arial"/>
                <w:sz w:val="13"/>
                <w:szCs w:val="13"/>
                <w:color w:val="auto"/>
              </w:rPr>
              <w:t>Net loss</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(28,044)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(28,044)</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0" w:type="dxa"/>
            <w:vAlign w:val="bottom"/>
          </w:tcPr>
          <w:p>
            <w:pPr>
              <w:spacing w:after="0"/>
              <w:rPr>
                <w:sz w:val="1"/>
                <w:szCs w:val="1"/>
                <w:color w:val="auto"/>
              </w:rPr>
            </w:pPr>
          </w:p>
        </w:tc>
      </w:tr>
      <w:tr>
        <w:trPr>
          <w:trHeight w:val="161"/>
        </w:trPr>
        <w:tc>
          <w:tcPr>
            <w:tcW w:w="4440" w:type="dxa"/>
            <w:vAlign w:val="bottom"/>
          </w:tcPr>
          <w:p>
            <w:pPr>
              <w:ind w:left="20"/>
              <w:spacing w:after="0"/>
              <w:rPr>
                <w:sz w:val="20"/>
                <w:szCs w:val="20"/>
                <w:color w:val="auto"/>
              </w:rPr>
            </w:pPr>
            <w:r>
              <w:rPr>
                <w:rFonts w:ascii="Arial" w:cs="Arial" w:eastAsia="Arial" w:hAnsi="Arial"/>
                <w:sz w:val="13"/>
                <w:szCs w:val="13"/>
                <w:b w:val="1"/>
                <w:bCs w:val="1"/>
                <w:color w:val="auto"/>
              </w:rPr>
              <w:t>BALANCE—March 31, 2023</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61,323,523</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ind w:right="537"/>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504,255</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(225,259)</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84"/>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278,272</w:t>
            </w:r>
          </w:p>
        </w:tc>
        <w:tc>
          <w:tcPr>
            <w:tcW w:w="0" w:type="dxa"/>
            <w:vAlign w:val="bottom"/>
          </w:tcPr>
          <w:p>
            <w:pPr>
              <w:spacing w:after="0"/>
              <w:rPr>
                <w:sz w:val="1"/>
                <w:szCs w:val="1"/>
                <w:color w:val="auto"/>
              </w:rPr>
            </w:pPr>
          </w:p>
        </w:tc>
      </w:tr>
      <w:tr>
        <w:trPr>
          <w:trHeight w:val="177"/>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Issuance of common stock on exercise of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86,085</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60"/>
        </w:trPr>
        <w:tc>
          <w:tcPr>
            <w:tcW w:w="4440" w:type="dxa"/>
            <w:vAlign w:val="bottom"/>
          </w:tcPr>
          <w:p>
            <w:pPr>
              <w:ind w:left="180"/>
              <w:spacing w:after="0"/>
              <w:rPr>
                <w:sz w:val="20"/>
                <w:szCs w:val="20"/>
                <w:color w:val="auto"/>
              </w:rPr>
            </w:pPr>
            <w:r>
              <w:rPr>
                <w:rFonts w:ascii="Arial" w:cs="Arial" w:eastAsia="Arial" w:hAnsi="Arial"/>
                <w:sz w:val="13"/>
                <w:szCs w:val="13"/>
                <w:color w:val="auto"/>
              </w:rPr>
              <w:t>Issuance of common stock pursuant to a private placement with Pfizer</w:t>
            </w:r>
          </w:p>
        </w:tc>
        <w:tc>
          <w:tcPr>
            <w:tcW w:w="920" w:type="dxa"/>
            <w:vAlign w:val="bottom"/>
          </w:tcPr>
          <w:p>
            <w:pPr>
              <w:jc w:val="right"/>
              <w:spacing w:after="0"/>
              <w:rPr>
                <w:sz w:val="20"/>
                <w:szCs w:val="20"/>
                <w:color w:val="auto"/>
              </w:rPr>
            </w:pPr>
            <w:r>
              <w:rPr>
                <w:rFonts w:ascii="Arial" w:cs="Arial" w:eastAsia="Arial" w:hAnsi="Arial"/>
                <w:sz w:val="13"/>
                <w:szCs w:val="13"/>
                <w:color w:val="auto"/>
              </w:rPr>
              <w:t>4,690,431</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17,290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17,290</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3,585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3,585</w:t>
            </w:r>
          </w:p>
        </w:tc>
        <w:tc>
          <w:tcPr>
            <w:tcW w:w="0" w:type="dxa"/>
            <w:vAlign w:val="bottom"/>
          </w:tcPr>
          <w:p>
            <w:pPr>
              <w:spacing w:after="0"/>
              <w:rPr>
                <w:sz w:val="1"/>
                <w:szCs w:val="1"/>
                <w:color w:val="auto"/>
              </w:rPr>
            </w:pPr>
          </w:p>
        </w:tc>
      </w:tr>
      <w:tr>
        <w:trPr>
          <w:trHeight w:val="160"/>
        </w:trPr>
        <w:tc>
          <w:tcPr>
            <w:tcW w:w="4440" w:type="dxa"/>
            <w:vAlign w:val="bottom"/>
          </w:tcPr>
          <w:p>
            <w:pPr>
              <w:ind w:left="180"/>
              <w:spacing w:after="0"/>
              <w:rPr>
                <w:sz w:val="20"/>
                <w:szCs w:val="20"/>
                <w:color w:val="auto"/>
              </w:rPr>
            </w:pPr>
            <w:r>
              <w:rPr>
                <w:rFonts w:ascii="Arial" w:cs="Arial" w:eastAsia="Arial" w:hAnsi="Arial"/>
                <w:sz w:val="13"/>
                <w:szCs w:val="13"/>
                <w:color w:val="auto"/>
              </w:rPr>
              <w:t>Net loss</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(29,519)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(29,519)</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62"/>
        </w:trPr>
        <w:tc>
          <w:tcPr>
            <w:tcW w:w="4440" w:type="dxa"/>
            <w:vAlign w:val="bottom"/>
          </w:tcPr>
          <w:p>
            <w:pPr>
              <w:ind w:left="20"/>
              <w:spacing w:after="0"/>
              <w:rPr>
                <w:sz w:val="20"/>
                <w:szCs w:val="20"/>
                <w:color w:val="auto"/>
              </w:rPr>
            </w:pPr>
            <w:r>
              <w:rPr>
                <w:rFonts w:ascii="Arial" w:cs="Arial" w:eastAsia="Arial" w:hAnsi="Arial"/>
                <w:sz w:val="13"/>
                <w:szCs w:val="13"/>
                <w:b w:val="1"/>
                <w:bCs w:val="1"/>
                <w:color w:val="auto"/>
              </w:rPr>
              <w:t>BALANCE—June 30, 2023</w:t>
            </w:r>
          </w:p>
        </w:tc>
        <w:tc>
          <w:tcPr>
            <w:tcW w:w="920" w:type="dxa"/>
            <w:vAlign w:val="bottom"/>
          </w:tcPr>
          <w:p>
            <w:pPr>
              <w:jc w:val="right"/>
              <w:spacing w:after="0"/>
              <w:rPr>
                <w:sz w:val="20"/>
                <w:szCs w:val="20"/>
                <w:color w:val="auto"/>
              </w:rPr>
            </w:pPr>
            <w:r>
              <w:rPr>
                <w:rFonts w:ascii="Arial" w:cs="Arial" w:eastAsia="Arial" w:hAnsi="Arial"/>
                <w:sz w:val="13"/>
                <w:szCs w:val="13"/>
                <w:color w:val="auto"/>
              </w:rPr>
              <w:t>66,100,039</w:t>
            </w:r>
          </w:p>
        </w:tc>
        <w:tc>
          <w:tcPr>
            <w:tcW w:w="780" w:type="dxa"/>
            <w:vAlign w:val="bottom"/>
            <w:gridSpan w:val="2"/>
          </w:tcPr>
          <w:p>
            <w:pPr>
              <w:jc w:val="right"/>
              <w:ind w:right="537"/>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2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525,366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(1,136)</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(254,778)</w:t>
            </w:r>
          </w:p>
        </w:tc>
        <w:tc>
          <w:tcPr>
            <w:tcW w:w="320" w:type="dxa"/>
            <w:vAlign w:val="bottom"/>
            <w:gridSpan w:val="2"/>
          </w:tcPr>
          <w:p>
            <w:pPr>
              <w:jc w:val="right"/>
              <w:ind w:right="8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269,458</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440" w:type="dxa"/>
            <w:vAlign w:val="bottom"/>
          </w:tcPr>
          <w:p>
            <w:pPr>
              <w:ind w:left="20"/>
              <w:spacing w:after="0"/>
              <w:rPr>
                <w:sz w:val="20"/>
                <w:szCs w:val="20"/>
                <w:color w:val="auto"/>
              </w:rPr>
            </w:pPr>
            <w:r>
              <w:rPr>
                <w:rFonts w:ascii="Arial" w:cs="Arial" w:eastAsia="Arial" w:hAnsi="Arial"/>
                <w:sz w:val="13"/>
                <w:szCs w:val="13"/>
                <w:b w:val="1"/>
                <w:bCs w:val="1"/>
                <w:color w:val="auto"/>
              </w:rPr>
              <w:t>BALANCE—December 31, 2021</w:t>
            </w:r>
          </w:p>
        </w:tc>
        <w:tc>
          <w:tcPr>
            <w:tcW w:w="920" w:type="dxa"/>
            <w:vAlign w:val="bottom"/>
          </w:tcPr>
          <w:p>
            <w:pPr>
              <w:jc w:val="right"/>
              <w:spacing w:after="0"/>
              <w:rPr>
                <w:sz w:val="20"/>
                <w:szCs w:val="20"/>
                <w:color w:val="auto"/>
              </w:rPr>
            </w:pPr>
            <w:r>
              <w:rPr>
                <w:rFonts w:ascii="Arial" w:cs="Arial" w:eastAsia="Arial" w:hAnsi="Arial"/>
                <w:sz w:val="13"/>
                <w:szCs w:val="13"/>
                <w:color w:val="auto"/>
              </w:rPr>
              <w:t>60,263,158</w:t>
            </w:r>
          </w:p>
        </w:tc>
        <w:tc>
          <w:tcPr>
            <w:tcW w:w="780" w:type="dxa"/>
            <w:vAlign w:val="bottom"/>
            <w:gridSpan w:val="2"/>
          </w:tcPr>
          <w:p>
            <w:pPr>
              <w:jc w:val="right"/>
              <w:ind w:right="537"/>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2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485,748</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(135)</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(97,794)</w:t>
            </w:r>
          </w:p>
        </w:tc>
        <w:tc>
          <w:tcPr>
            <w:tcW w:w="320" w:type="dxa"/>
            <w:vAlign w:val="bottom"/>
            <w:gridSpan w:val="2"/>
          </w:tcPr>
          <w:p>
            <w:pPr>
              <w:jc w:val="right"/>
              <w:ind w:right="8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387,825</w:t>
            </w:r>
          </w:p>
        </w:tc>
        <w:tc>
          <w:tcPr>
            <w:tcW w:w="0" w:type="dxa"/>
            <w:vAlign w:val="bottom"/>
          </w:tcPr>
          <w:p>
            <w:pPr>
              <w:spacing w:after="0"/>
              <w:rPr>
                <w:sz w:val="1"/>
                <w:szCs w:val="1"/>
                <w:color w:val="auto"/>
              </w:rPr>
            </w:pPr>
          </w:p>
        </w:tc>
      </w:tr>
      <w:tr>
        <w:trPr>
          <w:trHeight w:val="25"/>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Issuance of common stock under employee stock plans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36,596</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60"/>
        </w:trPr>
        <w:tc>
          <w:tcPr>
            <w:tcW w:w="4440" w:type="dxa"/>
            <w:vAlign w:val="bottom"/>
          </w:tcPr>
          <w:p>
            <w:pPr>
              <w:ind w:left="180"/>
              <w:spacing w:after="0"/>
              <w:rPr>
                <w:sz w:val="20"/>
                <w:szCs w:val="20"/>
                <w:color w:val="auto"/>
              </w:rPr>
            </w:pPr>
            <w:r>
              <w:rPr>
                <w:rFonts w:ascii="Arial" w:cs="Arial" w:eastAsia="Arial" w:hAnsi="Arial"/>
                <w:sz w:val="13"/>
                <w:szCs w:val="13"/>
                <w:color w:val="auto"/>
              </w:rPr>
              <w:t>Issuance of common stock on exercise of options</w:t>
            </w:r>
          </w:p>
        </w:tc>
        <w:tc>
          <w:tcPr>
            <w:tcW w:w="920" w:type="dxa"/>
            <w:vAlign w:val="bottom"/>
          </w:tcPr>
          <w:p>
            <w:pPr>
              <w:jc w:val="right"/>
              <w:spacing w:after="0"/>
              <w:rPr>
                <w:sz w:val="20"/>
                <w:szCs w:val="20"/>
                <w:color w:val="auto"/>
              </w:rPr>
            </w:pPr>
            <w:r>
              <w:rPr>
                <w:rFonts w:ascii="Arial" w:cs="Arial" w:eastAsia="Arial" w:hAnsi="Arial"/>
                <w:sz w:val="13"/>
                <w:szCs w:val="13"/>
                <w:color w:val="auto"/>
              </w:rPr>
              <w:t>389,855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629</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3,024</w:t>
            </w:r>
          </w:p>
        </w:tc>
        <w:tc>
          <w:tcPr>
            <w:tcW w:w="0" w:type="dxa"/>
            <w:vAlign w:val="bottom"/>
          </w:tcPr>
          <w:p>
            <w:pPr>
              <w:spacing w:after="0"/>
              <w:rPr>
                <w:sz w:val="1"/>
                <w:szCs w:val="1"/>
                <w:color w:val="auto"/>
              </w:rPr>
            </w:pPr>
          </w:p>
        </w:tc>
      </w:tr>
      <w:tr>
        <w:trPr>
          <w:trHeight w:val="160"/>
        </w:trPr>
        <w:tc>
          <w:tcPr>
            <w:tcW w:w="4440" w:type="dxa"/>
            <w:vAlign w:val="bottom"/>
          </w:tcPr>
          <w:p>
            <w:pPr>
              <w:ind w:left="180"/>
              <w:spacing w:after="0"/>
              <w:rPr>
                <w:sz w:val="20"/>
                <w:szCs w:val="20"/>
                <w:color w:val="auto"/>
              </w:rPr>
            </w:pPr>
            <w:r>
              <w:rPr>
                <w:rFonts w:ascii="Arial" w:cs="Arial" w:eastAsia="Arial" w:hAnsi="Arial"/>
                <w:sz w:val="13"/>
                <w:szCs w:val="13"/>
                <w:color w:val="auto"/>
              </w:rPr>
              <w:t>Net loss</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(19,088)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(19,088)</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(954)</w:t>
            </w:r>
          </w:p>
        </w:tc>
        <w:tc>
          <w:tcPr>
            <w:tcW w:w="0" w:type="dxa"/>
            <w:vAlign w:val="bottom"/>
          </w:tcPr>
          <w:p>
            <w:pPr>
              <w:spacing w:after="0"/>
              <w:rPr>
                <w:sz w:val="1"/>
                <w:szCs w:val="1"/>
                <w:color w:val="auto"/>
              </w:rPr>
            </w:pPr>
          </w:p>
        </w:tc>
      </w:tr>
      <w:tr>
        <w:trPr>
          <w:trHeight w:val="154"/>
        </w:trPr>
        <w:tc>
          <w:tcPr>
            <w:tcW w:w="4440" w:type="dxa"/>
            <w:vAlign w:val="bottom"/>
          </w:tcPr>
          <w:p>
            <w:pPr>
              <w:ind w:left="20"/>
              <w:spacing w:after="0"/>
              <w:rPr>
                <w:sz w:val="20"/>
                <w:szCs w:val="20"/>
                <w:color w:val="auto"/>
              </w:rPr>
            </w:pPr>
            <w:r>
              <w:rPr>
                <w:rFonts w:ascii="Arial" w:cs="Arial" w:eastAsia="Arial" w:hAnsi="Arial"/>
                <w:sz w:val="13"/>
                <w:szCs w:val="13"/>
                <w:b w:val="1"/>
                <w:bCs w:val="1"/>
                <w:color w:val="auto"/>
              </w:rPr>
              <w:t>BALANCE—March 31, 2022</w:t>
            </w:r>
          </w:p>
        </w:tc>
        <w:tc>
          <w:tcPr>
            <w:tcW w:w="920" w:type="dxa"/>
            <w:vAlign w:val="bottom"/>
          </w:tcPr>
          <w:p>
            <w:pPr>
              <w:jc w:val="right"/>
              <w:spacing w:after="0"/>
              <w:rPr>
                <w:sz w:val="20"/>
                <w:szCs w:val="20"/>
                <w:color w:val="auto"/>
              </w:rPr>
            </w:pPr>
            <w:r>
              <w:rPr>
                <w:rFonts w:ascii="Arial" w:cs="Arial" w:eastAsia="Arial" w:hAnsi="Arial"/>
                <w:sz w:val="13"/>
                <w:szCs w:val="13"/>
                <w:color w:val="auto"/>
              </w:rPr>
              <w:t>60,689,609</w:t>
            </w:r>
          </w:p>
        </w:tc>
        <w:tc>
          <w:tcPr>
            <w:tcW w:w="80" w:type="dxa"/>
            <w:vAlign w:val="bottom"/>
          </w:tcPr>
          <w:p>
            <w:pPr>
              <w:spacing w:after="0"/>
              <w:rPr>
                <w:sz w:val="13"/>
                <w:szCs w:val="13"/>
                <w:color w:val="auto"/>
              </w:rPr>
            </w:pPr>
          </w:p>
        </w:tc>
        <w:tc>
          <w:tcPr>
            <w:tcW w:w="700" w:type="dxa"/>
            <w:vAlign w:val="bottom"/>
          </w:tcPr>
          <w:p>
            <w:pPr>
              <w:jc w:val="right"/>
              <w:ind w:right="537"/>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489,762</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(1,089)</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(116,882)</w:t>
            </w:r>
          </w:p>
        </w:tc>
        <w:tc>
          <w:tcPr>
            <w:tcW w:w="100" w:type="dxa"/>
            <w:vAlign w:val="bottom"/>
          </w:tcPr>
          <w:p>
            <w:pPr>
              <w:spacing w:after="0"/>
              <w:rPr>
                <w:sz w:val="13"/>
                <w:szCs w:val="13"/>
                <w:color w:val="auto"/>
              </w:rPr>
            </w:pPr>
          </w:p>
        </w:tc>
        <w:tc>
          <w:tcPr>
            <w:tcW w:w="220" w:type="dxa"/>
            <w:vAlign w:val="bottom"/>
          </w:tcPr>
          <w:p>
            <w:pPr>
              <w:jc w:val="right"/>
              <w:ind w:right="84"/>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371,797</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on exercise of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148,761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60"/>
        </w:trPr>
        <w:tc>
          <w:tcPr>
            <w:tcW w:w="444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2,918</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(26,697)</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(26,697)</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comprehensive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BALANCE—June 30,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60,838,370</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493,043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(143,579)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347,889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18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(57,563)</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(45,785)</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02"/>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on disposal of fixed assets</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7820" w:type="dxa"/>
            <w:vAlign w:val="bottom"/>
          </w:tcPr>
          <w:p>
            <w:pPr>
              <w:ind w:left="360"/>
              <w:spacing w:after="0"/>
              <w:rPr>
                <w:sz w:val="20"/>
                <w:szCs w:val="20"/>
                <w:color w:val="auto"/>
              </w:rPr>
            </w:pPr>
            <w:r>
              <w:rPr>
                <w:rFonts w:ascii="Arial" w:cs="Arial" w:eastAsia="Arial" w:hAnsi="Arial"/>
                <w:sz w:val="14"/>
                <w:szCs w:val="14"/>
                <w:color w:val="auto"/>
              </w:rPr>
              <w:t>Non-cash consideration for licensing and collaboration revenue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fair value of equity securities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7"/>
        </w:trPr>
        <w:tc>
          <w:tcPr>
            <w:tcW w:w="7820" w:type="dxa"/>
            <w:vAlign w:val="bottom"/>
          </w:tcPr>
          <w:p>
            <w:pPr>
              <w:ind w:left="36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5,942</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fair value of MSKCC success payments liability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(2,648)</w:t>
            </w:r>
          </w:p>
        </w:tc>
        <w:tc>
          <w:tcPr>
            <w:tcW w:w="0" w:type="dxa"/>
            <w:vAlign w:val="bottom"/>
          </w:tcPr>
          <w:p>
            <w:pPr>
              <w:spacing w:after="0"/>
              <w:rPr>
                <w:sz w:val="1"/>
                <w:szCs w:val="1"/>
                <w:color w:val="auto"/>
              </w:rPr>
            </w:pPr>
          </w:p>
        </w:tc>
      </w:tr>
      <w:tr>
        <w:trPr>
          <w:trHeight w:val="190"/>
        </w:trPr>
        <w:tc>
          <w:tcPr>
            <w:tcW w:w="7820" w:type="dxa"/>
            <w:vAlign w:val="bottom"/>
          </w:tcPr>
          <w:p>
            <w:pPr>
              <w:ind w:left="360"/>
              <w:spacing w:after="0"/>
              <w:rPr>
                <w:sz w:val="20"/>
                <w:szCs w:val="20"/>
                <w:color w:val="auto"/>
              </w:rPr>
            </w:pPr>
            <w:r>
              <w:rPr>
                <w:rFonts w:ascii="Arial" w:cs="Arial" w:eastAsia="Arial" w:hAnsi="Arial"/>
                <w:sz w:val="14"/>
                <w:szCs w:val="14"/>
                <w:color w:val="auto"/>
              </w:rPr>
              <w:t>Acquired in-process research and development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(Accretion of discounts) and amortization of premiums on investments, net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96"/>
        </w:trPr>
        <w:tc>
          <w:tcPr>
            <w:tcW w:w="7820" w:type="dxa"/>
            <w:vAlign w:val="bottom"/>
          </w:tcPr>
          <w:p>
            <w:pPr>
              <w:ind w:left="360"/>
              <w:spacing w:after="0"/>
              <w:rPr>
                <w:sz w:val="20"/>
                <w:szCs w:val="20"/>
                <w:color w:val="auto"/>
              </w:rPr>
            </w:pPr>
            <w:r>
              <w:rPr>
                <w:rFonts w:ascii="Arial" w:cs="Arial" w:eastAsia="Arial" w:hAnsi="Arial"/>
                <w:sz w:val="14"/>
                <w:szCs w:val="14"/>
                <w:color w:val="auto"/>
              </w:rPr>
              <w:t>Non-cash lease expense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Contract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190"/>
        </w:trPr>
        <w:tc>
          <w:tcPr>
            <w:tcW w:w="7820" w:type="dxa"/>
            <w:vAlign w:val="bottom"/>
          </w:tcPr>
          <w:p>
            <w:pPr>
              <w:ind w:left="360"/>
              <w:spacing w:after="0"/>
              <w:rPr>
                <w:sz w:val="20"/>
                <w:szCs w:val="20"/>
                <w:color w:val="auto"/>
              </w:rPr>
            </w:pPr>
            <w:r>
              <w:rPr>
                <w:rFonts w:ascii="Arial" w:cs="Arial" w:eastAsia="Arial" w:hAnsi="Arial"/>
                <w:sz w:val="14"/>
                <w:szCs w:val="14"/>
                <w:color w:val="auto"/>
              </w:rPr>
              <w:t>Other receivables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97"/>
        </w:trPr>
        <w:tc>
          <w:tcPr>
            <w:tcW w:w="782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197"/>
        </w:trPr>
        <w:tc>
          <w:tcPr>
            <w:tcW w:w="7820" w:type="dxa"/>
            <w:vAlign w:val="bottom"/>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202"/>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revenue, current and long-term</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197"/>
        </w:trPr>
        <w:tc>
          <w:tcPr>
            <w:tcW w:w="7820" w:type="dxa"/>
            <w:vAlign w:val="bottom"/>
          </w:tcPr>
          <w:p>
            <w:pPr>
              <w:ind w:left="360"/>
              <w:spacing w:after="0"/>
              <w:rPr>
                <w:sz w:val="20"/>
                <w:szCs w:val="20"/>
                <w:color w:val="auto"/>
              </w:rPr>
            </w:pPr>
            <w:r>
              <w:rPr>
                <w:rFonts w:ascii="Arial" w:cs="Arial" w:eastAsia="Arial" w:hAnsi="Arial"/>
                <w:sz w:val="14"/>
                <w:szCs w:val="14"/>
                <w:color w:val="auto"/>
              </w:rPr>
              <w:t>Operating lease liabilities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0"/>
        </w:trPr>
        <w:tc>
          <w:tcPr>
            <w:tcW w:w="7820" w:type="dxa"/>
            <w:vAlign w:val="bottom"/>
          </w:tcPr>
          <w:p>
            <w:pPr>
              <w:ind w:left="180"/>
              <w:spacing w:after="0"/>
              <w:rPr>
                <w:sz w:val="20"/>
                <w:szCs w:val="20"/>
                <w:color w:val="auto"/>
              </w:rPr>
            </w:pPr>
            <w:r>
              <w:rPr>
                <w:rFonts w:ascii="Arial" w:cs="Arial" w:eastAsia="Arial" w:hAnsi="Arial"/>
                <w:sz w:val="14"/>
                <w:szCs w:val="14"/>
                <w:color w:val="auto"/>
              </w:rPr>
              <w:t>Net cash used in operating activities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(43,546)</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820" w:type="dxa"/>
            <w:vAlign w:val="bottom"/>
          </w:tcPr>
          <w:p>
            <w:pPr>
              <w:ind w:left="360"/>
              <w:spacing w:after="0"/>
              <w:rPr>
                <w:sz w:val="20"/>
                <w:szCs w:val="20"/>
                <w:color w:val="auto"/>
              </w:rPr>
            </w:pPr>
            <w:r>
              <w:rPr>
                <w:rFonts w:ascii="Arial" w:cs="Arial" w:eastAsia="Arial" w:hAnsi="Arial"/>
                <w:sz w:val="14"/>
                <w:szCs w:val="14"/>
                <w:color w:val="auto"/>
              </w:rPr>
              <w:t>Proceeds from sales and maturities of marketable securities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171,025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99,009</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marketable securities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(181,746)</w:t>
            </w:r>
          </w:p>
        </w:tc>
        <w:tc>
          <w:tcPr>
            <w:tcW w:w="0" w:type="dxa"/>
            <w:vAlign w:val="bottom"/>
          </w:tcPr>
          <w:p>
            <w:pPr>
              <w:spacing w:after="0"/>
              <w:rPr>
                <w:sz w:val="1"/>
                <w:szCs w:val="1"/>
                <w:color w:val="auto"/>
              </w:rPr>
            </w:pPr>
          </w:p>
        </w:tc>
      </w:tr>
      <w:tr>
        <w:trPr>
          <w:trHeight w:val="197"/>
        </w:trPr>
        <w:tc>
          <w:tcPr>
            <w:tcW w:w="7820" w:type="dxa"/>
            <w:vAlign w:val="bottom"/>
          </w:tcPr>
          <w:p>
            <w:pPr>
              <w:ind w:left="36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31,767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(86,080)</w:t>
            </w:r>
          </w:p>
        </w:tc>
        <w:tc>
          <w:tcPr>
            <w:tcW w:w="0" w:type="dxa"/>
            <w:vAlign w:val="bottom"/>
          </w:tcPr>
          <w:p>
            <w:pPr>
              <w:spacing w:after="0"/>
              <w:rPr>
                <w:sz w:val="1"/>
                <w:szCs w:val="1"/>
                <w:color w:val="auto"/>
              </w:rPr>
            </w:pPr>
          </w:p>
        </w:tc>
      </w:tr>
      <w:tr>
        <w:trPr>
          <w:trHeight w:val="176"/>
        </w:trPr>
        <w:tc>
          <w:tcPr>
            <w:tcW w:w="78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issuance of common stock in a private placement with Pfizer</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820" w:type="dxa"/>
            <w:vAlign w:val="bottom"/>
          </w:tcPr>
          <w:p>
            <w:pPr>
              <w:ind w:left="360"/>
              <w:spacing w:after="0"/>
              <w:rPr>
                <w:sz w:val="20"/>
                <w:szCs w:val="20"/>
                <w:color w:val="auto"/>
              </w:rPr>
            </w:pPr>
            <w:r>
              <w:rPr>
                <w:rFonts w:ascii="Arial" w:cs="Arial" w:eastAsia="Arial" w:hAnsi="Arial"/>
                <w:sz w:val="14"/>
                <w:szCs w:val="14"/>
                <w:color w:val="auto"/>
              </w:rPr>
              <w:t>Proceeds from exercise of stock options and purchases of common stock under employee stock purchase plan</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25"/>
        </w:trPr>
        <w:tc>
          <w:tcPr>
            <w:tcW w:w="7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issuance of common stock related to at-the-market offering, net of offering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820" w:type="dxa"/>
            <w:vAlign w:val="bottom"/>
          </w:tcPr>
          <w:p>
            <w:pPr>
              <w:ind w:left="18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(128,274)</w:t>
            </w: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 BEGINNING OF PERIOD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58,384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240,466</w:t>
            </w:r>
          </w:p>
        </w:tc>
        <w:tc>
          <w:tcPr>
            <w:tcW w:w="0" w:type="dxa"/>
            <w:vAlign w:val="bottom"/>
          </w:tcPr>
          <w:p>
            <w:pPr>
              <w:spacing w:after="0"/>
              <w:rPr>
                <w:sz w:val="1"/>
                <w:szCs w:val="1"/>
                <w:color w:val="auto"/>
              </w:rPr>
            </w:pPr>
          </w:p>
        </w:tc>
      </w:tr>
      <w:tr>
        <w:trPr>
          <w:trHeight w:val="24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 END OF PERIOD</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66,240</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112,192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RECONCILIATION OF CASH, CASH EQUIVALENTS, AND RESTRICTED CASH</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66,194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112,146</w:t>
            </w: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112,192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CASH FLOW INFORMATION:</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170</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4"/>
        </w:trPr>
        <w:tc>
          <w:tcPr>
            <w:tcW w:w="78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rPr>
                <w:sz w:val="20"/>
                <w:szCs w:val="20"/>
                <w:color w:val="auto"/>
              </w:rPr>
            </w:pPr>
            <w:r>
              <w:rPr>
                <w:rFonts w:ascii="Arial" w:cs="Arial" w:eastAsia="Arial" w:hAnsi="Arial"/>
                <w:sz w:val="14"/>
                <w:szCs w:val="14"/>
                <w:color w:val="auto"/>
              </w:rPr>
              <w:t>SUPPLEMENTAL SCHEDULE OF NON-CASH INVESTING AND FINANCING ACTIVITIES: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 included in accounts payable and accrued expenses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rPr>
                <w:sz w:val="20"/>
                <w:szCs w:val="20"/>
                <w:color w:val="auto"/>
              </w:rPr>
            </w:pPr>
            <w:r>
              <w:rPr>
                <w:rFonts w:ascii="Arial" w:cs="Arial" w:eastAsia="Arial" w:hAnsi="Arial"/>
                <w:sz w:val="14"/>
                <w:szCs w:val="14"/>
                <w:color w:val="auto"/>
              </w:rPr>
              <w:t>Acquired in-process research and development accrued</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costs included in accrued expenses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Arial" w:cs="Arial" w:eastAsia="Arial" w:hAnsi="Arial"/>
                <w:sz w:val="14"/>
                <w:szCs w:val="14"/>
                <w:color w:val="auto"/>
              </w:rPr>
              <w:t>Right-of-use-assets obtained in exchange for new operating lease liabilities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26,249</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5" w:right="8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Organization, and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Organization</w:t>
      </w:r>
    </w:p>
    <w:p>
      <w:pPr>
        <w:spacing w:after="0" w:line="181"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 xml:space="preserve">Caribou Biosciences, Inc. (the “Company” or “we”) is a clinical-stage </w:t>
      </w:r>
      <w:r>
        <w:rPr>
          <w:rFonts w:ascii="Arial" w:cs="Arial" w:eastAsia="Arial" w:hAnsi="Arial"/>
          <w:sz w:val="18"/>
          <w:szCs w:val="18"/>
          <w:b w:val="1"/>
          <w:bCs w:val="1"/>
          <w:color w:val="auto"/>
        </w:rPr>
        <w:t>C</w:t>
      </w:r>
      <w:r>
        <w:rPr>
          <w:rFonts w:ascii="Arial" w:cs="Arial" w:eastAsia="Arial" w:hAnsi="Arial"/>
          <w:sz w:val="18"/>
          <w:szCs w:val="18"/>
          <w:color w:val="auto"/>
        </w:rPr>
        <w:t xml:space="preserve">lustered </w:t>
      </w:r>
      <w:r>
        <w:rPr>
          <w:rFonts w:ascii="Arial" w:cs="Arial" w:eastAsia="Arial" w:hAnsi="Arial"/>
          <w:sz w:val="18"/>
          <w:szCs w:val="18"/>
          <w:b w:val="1"/>
          <w:bCs w:val="1"/>
          <w:color w:val="auto"/>
        </w:rPr>
        <w:t>R</w:t>
      </w:r>
      <w:r>
        <w:rPr>
          <w:rFonts w:ascii="Arial" w:cs="Arial" w:eastAsia="Arial" w:hAnsi="Arial"/>
          <w:sz w:val="18"/>
          <w:szCs w:val="18"/>
          <w:color w:val="auto"/>
        </w:rPr>
        <w:t xml:space="preserve">egularly </w:t>
      </w:r>
      <w:r>
        <w:rPr>
          <w:rFonts w:ascii="Arial" w:cs="Arial" w:eastAsia="Arial" w:hAnsi="Arial"/>
          <w:sz w:val="18"/>
          <w:szCs w:val="18"/>
          <w:b w:val="1"/>
          <w:bCs w:val="1"/>
          <w:color w:val="auto"/>
        </w:rPr>
        <w:t>I</w:t>
      </w:r>
      <w:r>
        <w:rPr>
          <w:rFonts w:ascii="Arial" w:cs="Arial" w:eastAsia="Arial" w:hAnsi="Arial"/>
          <w:sz w:val="18"/>
          <w:szCs w:val="18"/>
          <w:color w:val="auto"/>
        </w:rPr>
        <w:t xml:space="preserve">nterspaced </w:t>
      </w:r>
      <w:r>
        <w:rPr>
          <w:rFonts w:ascii="Arial" w:cs="Arial" w:eastAsia="Arial" w:hAnsi="Arial"/>
          <w:sz w:val="18"/>
          <w:szCs w:val="18"/>
          <w:b w:val="1"/>
          <w:bCs w:val="1"/>
          <w:color w:val="auto"/>
        </w:rPr>
        <w:t>S</w:t>
      </w:r>
      <w:r>
        <w:rPr>
          <w:rFonts w:ascii="Arial" w:cs="Arial" w:eastAsia="Arial" w:hAnsi="Arial"/>
          <w:sz w:val="18"/>
          <w:szCs w:val="18"/>
          <w:color w:val="auto"/>
        </w:rPr>
        <w:t xml:space="preserve">hort </w:t>
      </w:r>
      <w:r>
        <w:rPr>
          <w:rFonts w:ascii="Arial" w:cs="Arial" w:eastAsia="Arial" w:hAnsi="Arial"/>
          <w:sz w:val="18"/>
          <w:szCs w:val="18"/>
          <w:b w:val="1"/>
          <w:bCs w:val="1"/>
          <w:color w:val="auto"/>
        </w:rPr>
        <w:t>P</w:t>
      </w:r>
      <w:r>
        <w:rPr>
          <w:rFonts w:ascii="Arial" w:cs="Arial" w:eastAsia="Arial" w:hAnsi="Arial"/>
          <w:sz w:val="18"/>
          <w:szCs w:val="18"/>
          <w:color w:val="auto"/>
        </w:rPr>
        <w:t xml:space="preserve">alindromic </w:t>
      </w:r>
      <w:r>
        <w:rPr>
          <w:rFonts w:ascii="Arial" w:cs="Arial" w:eastAsia="Arial" w:hAnsi="Arial"/>
          <w:sz w:val="18"/>
          <w:szCs w:val="18"/>
          <w:b w:val="1"/>
          <w:bCs w:val="1"/>
          <w:color w:val="auto"/>
        </w:rPr>
        <w:t>R</w:t>
      </w:r>
      <w:r>
        <w:rPr>
          <w:rFonts w:ascii="Arial" w:cs="Arial" w:eastAsia="Arial" w:hAnsi="Arial"/>
          <w:sz w:val="18"/>
          <w:szCs w:val="18"/>
          <w:color w:val="auto"/>
        </w:rPr>
        <w:t>epeats (“CRISPR”) genome-editing biopharmaceutical company dedicated to developing transformative therapies for patients with devastating diseases. Our genome-editing platform, including our novel chRDNA (</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RISPR </w:t>
      </w:r>
      <w:r>
        <w:rPr>
          <w:rFonts w:ascii="Arial" w:cs="Arial" w:eastAsia="Arial" w:hAnsi="Arial"/>
          <w:sz w:val="18"/>
          <w:szCs w:val="18"/>
          <w:b w:val="1"/>
          <w:bCs w:val="1"/>
          <w:u w:val="single" w:color="auto"/>
          <w:color w:val="auto"/>
        </w:rPr>
        <w:t>h</w:t>
      </w:r>
      <w:r>
        <w:rPr>
          <w:rFonts w:ascii="Arial" w:cs="Arial" w:eastAsia="Arial" w:hAnsi="Arial"/>
          <w:sz w:val="18"/>
          <w:szCs w:val="18"/>
          <w:color w:val="auto"/>
        </w:rPr>
        <w:t xml:space="preserve">ybrid </w:t>
      </w:r>
      <w:r>
        <w:rPr>
          <w:rFonts w:ascii="Arial" w:cs="Arial" w:eastAsia="Arial" w:hAnsi="Arial"/>
          <w:sz w:val="18"/>
          <w:szCs w:val="18"/>
          <w:b w:val="1"/>
          <w:bCs w:val="1"/>
          <w:u w:val="single" w:color="auto"/>
          <w:color w:val="auto"/>
        </w:rPr>
        <w:t>R</w:t>
      </w:r>
      <w:r>
        <w:rPr>
          <w:rFonts w:ascii="Arial" w:cs="Arial" w:eastAsia="Arial" w:hAnsi="Arial"/>
          <w:sz w:val="18"/>
          <w:szCs w:val="18"/>
          <w:color w:val="auto"/>
        </w:rPr>
        <w:t>NA-</w:t>
      </w:r>
      <w:r>
        <w:rPr>
          <w:rFonts w:ascii="Arial" w:cs="Arial" w:eastAsia="Arial" w:hAnsi="Arial"/>
          <w:sz w:val="18"/>
          <w:szCs w:val="18"/>
          <w:b w:val="1"/>
          <w:bCs w:val="1"/>
          <w:u w:val="single" w:color="auto"/>
          <w:color w:val="auto"/>
        </w:rPr>
        <w:t>DNA</w:t>
      </w:r>
      <w:r>
        <w:rPr>
          <w:rFonts w:ascii="Arial" w:cs="Arial" w:eastAsia="Arial" w:hAnsi="Arial"/>
          <w:sz w:val="18"/>
          <w:szCs w:val="18"/>
          <w:color w:val="auto"/>
        </w:rPr>
        <w:t>, or “chRDNA,” pronounced “chardonnay”) technologies, enables superior editing precision to develop cell therapies that are armored to improve antitumor activity. We are advancing a pipeline of allogeneic, or off-the-shelf, cell therapies from our chimeric antigen receptor (“CAR”) T (“CAR-T”) cell and CAR-natural killer (“CAR-NK”) cell platforms as readily available therapeutic treatments for patients.</w:t>
      </w:r>
    </w:p>
    <w:p>
      <w:pPr>
        <w:spacing w:after="0" w:line="164" w:lineRule="exact"/>
        <w:rPr>
          <w:sz w:val="20"/>
          <w:szCs w:val="20"/>
          <w:color w:val="auto"/>
        </w:rPr>
      </w:pPr>
    </w:p>
    <w:p>
      <w:pPr>
        <w:ind w:right="600" w:firstLine="648"/>
        <w:spacing w:after="0" w:line="259" w:lineRule="auto"/>
        <w:rPr>
          <w:sz w:val="20"/>
          <w:szCs w:val="20"/>
          <w:color w:val="auto"/>
        </w:rPr>
      </w:pPr>
      <w:r>
        <w:rPr>
          <w:rFonts w:ascii="Arial" w:cs="Arial" w:eastAsia="Arial" w:hAnsi="Arial"/>
          <w:sz w:val="18"/>
          <w:szCs w:val="18"/>
          <w:color w:val="auto"/>
        </w:rPr>
        <w:t>We incorporated in October 2011 as a Delaware corporation and are headquartered in Berkeley, California. We have four wholly owned subsidiaries: Antler Holdco, LLC, incorporated in Delaware in April 2019; Microbe Holdco, LLC, incorporated in Delaware in June 2020; Arboreal Holdco, LLC, incorporated in Delaware in November 2020; and Biloba Holdco, LLC, incorporated in Delaware in April 2021. Our wholly owned subsidiaries hold interests in our equity investments and do not have operating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incurred net losses and negative cash flows from operations since our inception and we had an accumulated deficit of $254.8 million as of June 30, 2023. During the six months ended June 30, 2023, we incurred a net loss of $57.6 million and used $43.1 million of cash in operating activities. We expect to continue to incur substantial losses, and our ability to achieve and sustain profitability will depend on the successful development, approval, and commercialization of our product candidates and on our achievement of sufficient revenue to support our cost structure. We may never achieve profitability and, unless and until we do, we will need to continue to raise additional capital. Our management expects that existing cash, cash equivalents, and marketable securities of $292.5 million as of June 30, 2023, will be sufficient to fund our current operating plan for at least the next 12 months from the date of issuance of our condensed consolidated financial statements.</w:t>
      </w:r>
    </w:p>
    <w:p>
      <w:pPr>
        <w:spacing w:after="0" w:line="15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July and August of 2023, we issued and sold a total of 22,115,384 shares of our common stock in an underwritten public offering for total net proceeds of approximately $134.6 million, which included the full exercise of the underwriters’ over-allotment option. See Note 16 to our unaudited condensed consolidated financial statements included elsewhere in this Form 10-Q for 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have been no changes to the significant accounting policies disclosed in Note 2 to the annual consolidated financial statements for the year ended December 31, 2022, included in our Annual Report on Form 10-K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generally accepted in the United States (“U.S. GAAP”) and include the accounts of Caribou Biosciences, Inc. and its wholly owned subsidiaries. All intercompany accounts and transactions are eliminated in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our management to make estimates and assumptions that affect the reported amounts of assets and liabilities; the disclosure of contingent assets and liabilities at the date of our condensed consolidated financial statements; and the reported amounts of revenue, income, and expenses during the applicable reporting period. On an ongoing basis, we evaluate our estimates and assumptions, including those related to revenue recognition, common stock valuation, stock-based compensation expense, accrued expenses related to research and development activities, valuation of the Memorial Sloan Kettering Cancer Center (“MSKCC”) success payments liability, and income taxes. Our management bases its estimates on historical experience and on various other assumptions that they believe to be reasonable under the circumstances, the results of which form the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basis for making judgments about the carrying values of assets and liabilities that are not readily apparent from other sources. Actual results may differ materially from those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operate and manage our business as one reportable operating segment, which is the business of developing a pipeline of allogeneic CAR-T and CAR-NK cell therapies. Our president and chief executive officer, who is the chief operating decision maker, reviews financial information on an aggregate basis for allocating resources and evaluating financial performance. All long-lived assets are maintained in the United States.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Uncertainties</w:t>
      </w:r>
    </w:p>
    <w:p>
      <w:pPr>
        <w:spacing w:after="0" w:line="19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Financial instruments that potentially subject us to concentration of credit risk consist of cash and cash equivalents, accounts receivable, contract assets, other receivables, and investments in marketable securities and equity securities. Substantially all of our cash and cash equivalents are deposited in accounts at two financial institutions, and account balances exceed federally insured limits. We mitigate the risks by investing in high-grade instruments, limiting our exposure to one issuer, and we monitor the ongoing creditworthiness of the financial institutions and issuers.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Licensees that represent 10% or more of our revenue and accounts receivable and contract assets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60" w:type="dxa"/>
            <w:vAlign w:val="bottom"/>
            <w:gridSpan w:val="3"/>
            <w:vMerge w:val="restart"/>
          </w:tcPr>
          <w:p>
            <w:pPr>
              <w:ind w:left="1280"/>
              <w:spacing w:after="0"/>
              <w:rPr>
                <w:sz w:val="20"/>
                <w:szCs w:val="20"/>
                <w:color w:val="auto"/>
              </w:rPr>
            </w:pPr>
            <w:r>
              <w:rPr>
                <w:rFonts w:ascii="Arial" w:cs="Arial" w:eastAsia="Arial" w:hAnsi="Arial"/>
                <w:sz w:val="14"/>
                <w:szCs w:val="14"/>
                <w:b w:val="1"/>
                <w:bCs w:val="1"/>
                <w:color w:val="auto"/>
                <w:w w:val="95"/>
              </w:rPr>
              <w:t>Revenue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vMerge w:val="restart"/>
          </w:tcPr>
          <w:p>
            <w:pPr>
              <w:ind w:left="1260"/>
              <w:spacing w:after="0"/>
              <w:rPr>
                <w:sz w:val="20"/>
                <w:szCs w:val="20"/>
                <w:color w:val="auto"/>
              </w:rPr>
            </w:pPr>
            <w:r>
              <w:rPr>
                <w:rFonts w:ascii="Arial" w:cs="Arial" w:eastAsia="Arial" w:hAnsi="Arial"/>
                <w:sz w:val="14"/>
                <w:szCs w:val="14"/>
                <w:b w:val="1"/>
                <w:bCs w:val="1"/>
                <w:color w:val="auto"/>
                <w:w w:val="95"/>
              </w:rPr>
              <w:t>Revenue</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4"/>
          </w:tcPr>
          <w:p>
            <w:pPr>
              <w:jc w:val="right"/>
              <w:ind w:right="704"/>
              <w:spacing w:after="0"/>
              <w:rPr>
                <w:sz w:val="20"/>
                <w:szCs w:val="20"/>
                <w:color w:val="auto"/>
              </w:rPr>
            </w:pPr>
            <w:r>
              <w:rPr>
                <w:rFonts w:ascii="Arial" w:cs="Arial" w:eastAsia="Arial" w:hAnsi="Arial"/>
                <w:sz w:val="14"/>
                <w:szCs w:val="14"/>
                <w:b w:val="1"/>
                <w:bCs w:val="1"/>
                <w:color w:val="auto"/>
              </w:rPr>
              <w:t>Accounts Receivable and</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60" w:type="dxa"/>
            <w:vAlign w:val="bottom"/>
            <w:gridSpan w:val="3"/>
          </w:tcPr>
          <w:p>
            <w:pPr>
              <w:jc w:val="right"/>
              <w:ind w:right="984"/>
              <w:spacing w:after="0"/>
              <w:rPr>
                <w:sz w:val="20"/>
                <w:szCs w:val="20"/>
                <w:color w:val="auto"/>
              </w:rPr>
            </w:pPr>
            <w:r>
              <w:rPr>
                <w:rFonts w:ascii="Arial" w:cs="Arial" w:eastAsia="Arial" w:hAnsi="Arial"/>
                <w:sz w:val="14"/>
                <w:szCs w:val="14"/>
                <w:b w:val="1"/>
                <w:bCs w:val="1"/>
                <w:color w:val="auto"/>
              </w:rPr>
              <w:t>Contract Assets</w:t>
            </w: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3060" w:type="dxa"/>
            <w:vAlign w:val="bottom"/>
            <w:gridSpan w:val="4"/>
            <w:vMerge w:val="restart"/>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3060" w:type="dxa"/>
            <w:vAlign w:val="bottom"/>
            <w:gridSpan w:val="4"/>
            <w:vMerge w:val="restart"/>
          </w:tcPr>
          <w:p>
            <w:pPr>
              <w:ind w:left="9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c>
          <w:tcPr>
            <w:tcW w:w="920" w:type="dxa"/>
            <w:vAlign w:val="bottom"/>
          </w:tcPr>
          <w:p>
            <w:pPr>
              <w:jc w:val="center"/>
              <w:ind w:left="488"/>
              <w:spacing w:after="0" w:line="147" w:lineRule="exact"/>
              <w:rPr>
                <w:sz w:val="20"/>
                <w:szCs w:val="20"/>
                <w:color w:val="auto"/>
              </w:rPr>
            </w:pPr>
            <w:r>
              <w:rPr>
                <w:rFonts w:ascii="Arial" w:cs="Arial" w:eastAsia="Arial" w:hAnsi="Arial"/>
                <w:sz w:val="14"/>
                <w:szCs w:val="14"/>
                <w:b w:val="1"/>
                <w:bCs w:val="1"/>
                <w:color w:val="auto"/>
                <w:w w:val="91"/>
              </w:rPr>
              <w:t>As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29"/>
        </w:trPr>
        <w:tc>
          <w:tcPr>
            <w:tcW w:w="1840" w:type="dxa"/>
            <w:vAlign w:val="bottom"/>
          </w:tcPr>
          <w:p>
            <w:pPr>
              <w:spacing w:after="0"/>
              <w:rPr>
                <w:sz w:val="10"/>
                <w:szCs w:val="10"/>
                <w:color w:val="auto"/>
              </w:rPr>
            </w:pPr>
          </w:p>
        </w:tc>
        <w:tc>
          <w:tcPr>
            <w:tcW w:w="306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306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0"/>
                <w:szCs w:val="10"/>
                <w:color w:val="auto"/>
              </w:rPr>
            </w:pPr>
          </w:p>
        </w:tc>
        <w:tc>
          <w:tcPr>
            <w:tcW w:w="15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7"/>
        </w:trPr>
        <w:tc>
          <w:tcPr>
            <w:tcW w:w="1840" w:type="dxa"/>
            <w:vAlign w:val="bottom"/>
          </w:tcPr>
          <w:p>
            <w:pPr>
              <w:spacing w:after="0"/>
              <w:rPr>
                <w:sz w:val="17"/>
                <w:szCs w:val="17"/>
                <w:color w:val="auto"/>
              </w:rPr>
            </w:pPr>
          </w:p>
        </w:tc>
        <w:tc>
          <w:tcPr>
            <w:tcW w:w="18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June 30, 2023</w:t>
            </w:r>
          </w:p>
        </w:tc>
        <w:tc>
          <w:tcPr>
            <w:tcW w:w="12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4"/>
              </w:rPr>
              <w:t>June 30, 2022</w:t>
            </w:r>
          </w:p>
        </w:tc>
        <w:tc>
          <w:tcPr>
            <w:tcW w:w="100" w:type="dxa"/>
            <w:vAlign w:val="bottom"/>
          </w:tcPr>
          <w:p>
            <w:pPr>
              <w:spacing w:after="0"/>
              <w:rPr>
                <w:sz w:val="17"/>
                <w:szCs w:val="17"/>
                <w:color w:val="auto"/>
              </w:rPr>
            </w:pPr>
          </w:p>
        </w:tc>
        <w:tc>
          <w:tcPr>
            <w:tcW w:w="14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June 30, 2022</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89"/>
              </w:rPr>
              <w:t>2023</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42"/>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Licensee 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5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89"/>
              </w:rPr>
              <w:t>19.5 %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28.4 %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37"/>
        </w:trPr>
        <w:tc>
          <w:tcPr>
            <w:tcW w:w="1840" w:type="dxa"/>
            <w:vAlign w:val="bottom"/>
          </w:tcPr>
          <w:p>
            <w:pPr>
              <w:ind w:left="20"/>
              <w:spacing w:after="0"/>
              <w:rPr>
                <w:sz w:val="20"/>
                <w:szCs w:val="20"/>
                <w:color w:val="auto"/>
              </w:rPr>
            </w:pPr>
            <w:r>
              <w:rPr>
                <w:rFonts w:ascii="Arial" w:cs="Arial" w:eastAsia="Arial" w:hAnsi="Arial"/>
                <w:sz w:val="18"/>
                <w:szCs w:val="18"/>
                <w:color w:val="auto"/>
              </w:rPr>
              <w:t>Licensee B</w:t>
            </w:r>
          </w:p>
        </w:tc>
        <w:tc>
          <w:tcPr>
            <w:tcW w:w="1480" w:type="dxa"/>
            <w:vAlign w:val="bottom"/>
          </w:tcPr>
          <w:p>
            <w:pPr>
              <w:jc w:val="right"/>
              <w:spacing w:after="0"/>
              <w:rPr>
                <w:sz w:val="20"/>
                <w:szCs w:val="20"/>
                <w:color w:val="auto"/>
              </w:rPr>
            </w:pPr>
            <w:r>
              <w:rPr>
                <w:rFonts w:ascii="Arial" w:cs="Arial" w:eastAsia="Arial" w:hAnsi="Arial"/>
                <w:sz w:val="18"/>
                <w:szCs w:val="18"/>
                <w:color w:val="auto"/>
              </w:rPr>
              <w:t>36.6 %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68.3 %</w:t>
            </w:r>
          </w:p>
        </w:tc>
        <w:tc>
          <w:tcPr>
            <w:tcW w:w="1580" w:type="dxa"/>
            <w:vAlign w:val="bottom"/>
            <w:gridSpan w:val="2"/>
          </w:tcPr>
          <w:p>
            <w:pPr>
              <w:ind w:left="1060"/>
              <w:spacing w:after="0"/>
              <w:rPr>
                <w:sz w:val="20"/>
                <w:szCs w:val="20"/>
                <w:color w:val="auto"/>
              </w:rPr>
            </w:pPr>
            <w:r>
              <w:rPr>
                <w:rFonts w:ascii="Arial" w:cs="Arial" w:eastAsia="Arial" w:hAnsi="Arial"/>
                <w:sz w:val="18"/>
                <w:szCs w:val="18"/>
                <w:color w:val="auto"/>
                <w:w w:val="89"/>
              </w:rPr>
              <w:t>41.1 %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45.6 %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36.6 %</w:t>
            </w:r>
          </w:p>
        </w:tc>
        <w:tc>
          <w:tcPr>
            <w:tcW w:w="0" w:type="dxa"/>
            <w:vAlign w:val="bottom"/>
          </w:tcPr>
          <w:p>
            <w:pPr>
              <w:spacing w:after="0"/>
              <w:rPr>
                <w:sz w:val="1"/>
                <w:szCs w:val="1"/>
                <w:color w:val="auto"/>
              </w:rPr>
            </w:pPr>
          </w:p>
        </w:tc>
      </w:tr>
      <w:tr>
        <w:trPr>
          <w:trHeight w:val="249"/>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Licensee C</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9"/>
              </w:rPr>
              <w:t>15.8 %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Pr>
          <w:p>
            <w:pPr>
              <w:jc w:val="right"/>
              <w:spacing w:after="0"/>
              <w:rPr>
                <w:sz w:val="20"/>
                <w:szCs w:val="20"/>
                <w:color w:val="auto"/>
              </w:rPr>
            </w:pPr>
            <w:r>
              <w:rPr>
                <w:rFonts w:ascii="Arial" w:cs="Arial" w:eastAsia="Arial" w:hAnsi="Arial"/>
                <w:sz w:val="18"/>
                <w:szCs w:val="18"/>
                <w:color w:val="auto"/>
              </w:rPr>
              <w:t>84.3 %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82.1 %</w:t>
            </w:r>
          </w:p>
        </w:tc>
        <w:tc>
          <w:tcPr>
            <w:tcW w:w="1580" w:type="dxa"/>
            <w:vAlign w:val="bottom"/>
            <w:gridSpan w:val="2"/>
          </w:tcPr>
          <w:p>
            <w:pPr>
              <w:ind w:left="1060"/>
              <w:spacing w:after="0"/>
              <w:rPr>
                <w:sz w:val="20"/>
                <w:szCs w:val="20"/>
                <w:color w:val="auto"/>
              </w:rPr>
            </w:pPr>
            <w:r>
              <w:rPr>
                <w:rFonts w:ascii="Arial" w:cs="Arial" w:eastAsia="Arial" w:hAnsi="Arial"/>
                <w:sz w:val="18"/>
                <w:szCs w:val="18"/>
                <w:color w:val="auto"/>
                <w:w w:val="89"/>
              </w:rPr>
              <w:t>76.4 %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71.5 %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74.0 %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60.4 %</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*Less than 10%</w:t>
      </w:r>
    </w:p>
    <w:p>
      <w:pPr>
        <w:spacing w:after="0" w:line="19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monitor economic conditions to identify facts or circumstances that may indicate if any of our accounts receivable are not collectible or if the contract assets should be impaired. No allowance for credit losses or contract asset impairment was recorded as of June 30, 2023, or December 31, 2022.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June 2016, the Financial Accounting Standards Board (“FASB”) issued ASU 2016-13, Financial Instruments–Credit Losses: Measurement of Credit Losses on Financial Instruments (Topic 326). This ASU provides guidance on the measurement of credit losses for most financial assets and certain other instruments that are not measured at fair value through net income. ASU 2016-13 replaces the current incurred loss impairment approach with a methodology to reflect expected credit losses and requires consideration of a broader range of reasonable and supportable information to explain credit loss estimates. This ASU is to be applied on a modified retrospective approach and is effective for fiscal years, and interim periods within those fiscal years, beginning after December 15, 2022, and interim reporting periods within fiscal years beginning after December 15, 2023. Early adoption is permitted for all entities for fiscal years beginning after December 15, 2018, and interim periods therein. We adopted ASU 2016-13 on January 1, 2023. The impact on our financial statements and related disclosures was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and Fair Value of Financial Instruments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authoritative guidance on fair value measurements establishes a three-tier fair value hierarchy for disclosure of fair value measurements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in active markets for identical assets or liabilities.</w:t>
      </w:r>
    </w:p>
    <w:p>
      <w:pPr>
        <w:spacing w:after="0" w:line="19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Level 2</w:t>
      </w:r>
      <w:r>
        <w:rPr>
          <w:rFonts w:ascii="Arial" w:cs="Arial" w:eastAsia="Arial" w:hAnsi="Arial"/>
          <w:sz w:val="17"/>
          <w:szCs w:val="17"/>
          <w:color w:val="auto"/>
        </w:rPr>
        <w:t>—Observable inputs other than Level 1 prices, such as quoted prices for similar assets or liabilities, quoted prices in markets that are not active,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inputs that are observable or can be corroborated by observable market data for substantially the full term of the assets or liabilities.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10"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entireties based on the lowest level of input that is significant to the fair value measurement. Our assessment of the significance of a particular input to the fair value measurement in its entirety requires our management to make judgments and consider factors specific to the asset or liability.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financial instruments consist of Level 1, Level 2, and Level 3 financial instruments. We generally classify our marketable securities as Level</w:t>
      </w:r>
    </w:p>
    <w:p>
      <w:pPr>
        <w:spacing w:after="0" w:line="46" w:lineRule="exact"/>
        <w:rPr>
          <w:sz w:val="20"/>
          <w:szCs w:val="20"/>
          <w:color w:val="auto"/>
        </w:rPr>
      </w:pPr>
    </w:p>
    <w:p>
      <w:pPr>
        <w:ind w:right="80" w:firstLine="8"/>
        <w:spacing w:after="0" w:line="267"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Instruments are classified as Level 2 when observable market prices for identical securities that are traded in less active markets are used. When observable market prices for identical securities are not available, such instruments are priced using benchmark curves, benchmarking of like securities, sector groupings, matrix pricing, and valuation models. These valuation models are proprietary to the pricing providers or brokers and incorporate a number of inputs including, in approximate order of priority: benchmark yields, reported trades, broker/dealer quotes, issuer spreads, two-sided markets, benchmark securities, bids, offers, and reference data including market research publications. For certain security types, additional inputs may be used, or some of the standard inputs may not be applicable. Evaluators may prioritize inputs differently on any given day for any security based on market conditions, and not all inputs listed are available for use in the evaluation process for each security evaluation on any given day. Changes in the ability to observe valuation inputs may result in a reclassification of levels of certain securities within the fair value hierarchy. We recognize transfers into and out of levels within the fair value hierarchy in the period in which the actual event or change in circumstances that caused the transfer occurs. No such transfers occurred during the six months ended June 30, 2023, and 2022. Level 1 financial instruments are comprised of money market fund investments and U.S. Treasury bills. Level 2 financial instruments are comprised of commercial paper, corporate debt securities, and U.S. government agency bonds. Financial assets and liabilities are considered Level 3 when their fair values are determined using pricing models, discounted cash flow methodologies, or similar techniques, and at least one significant model assumption or input is unobservable. Level 3 financial instruments consist of the MSKCC success payments liability.</w:t>
      </w:r>
    </w:p>
    <w:p>
      <w:pPr>
        <w:spacing w:after="0" w:line="14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sets forth our financial instruments that were measured at fair value on a recurring basis by level within the fair value hierarchy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w w:val="91"/>
              </w:rPr>
              <w:t>Fair Value Measurements as of June 30, 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180"/>
              <w:spacing w:after="0" w:line="189" w:lineRule="exact"/>
              <w:rPr>
                <w:sz w:val="20"/>
                <w:szCs w:val="20"/>
                <w:color w:val="auto"/>
              </w:rPr>
            </w:pPr>
            <w:r>
              <w:rPr>
                <w:rFonts w:ascii="Arial" w:cs="Arial" w:eastAsia="Arial" w:hAnsi="Arial"/>
                <w:sz w:val="18"/>
                <w:szCs w:val="18"/>
                <w:color w:val="auto"/>
              </w:rPr>
              <w:t>U.S. Treasury bills ($18,295 included in cash and cash</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159,788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159,788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bonds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5040" w:type="dxa"/>
            <w:vAlign w:val="bottom"/>
          </w:tcPr>
          <w:p>
            <w:pPr>
              <w:ind w:left="180"/>
              <w:spacing w:after="0" w:line="189" w:lineRule="exact"/>
              <w:rPr>
                <w:sz w:val="20"/>
                <w:szCs w:val="20"/>
                <w:color w:val="auto"/>
              </w:rPr>
            </w:pPr>
            <w:r>
              <w:rPr>
                <w:rFonts w:ascii="Arial" w:cs="Arial" w:eastAsia="Arial" w:hAnsi="Arial"/>
                <w:sz w:val="18"/>
                <w:szCs w:val="18"/>
                <w:color w:val="auto"/>
              </w:rPr>
              <w:t>Money market fund investments (included in cash and cash</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47,899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12,169</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fair value of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207,687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84,834</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MSKCC success payments liability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Total fair value of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7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40" w:type="dxa"/>
            <w:vAlign w:val="bottom"/>
            <w:gridSpan w:val="7"/>
          </w:tcPr>
          <w:p>
            <w:pPr>
              <w:ind w:left="80"/>
              <w:spacing w:after="0"/>
              <w:rPr>
                <w:sz w:val="20"/>
                <w:szCs w:val="20"/>
                <w:color w:val="auto"/>
              </w:rPr>
            </w:pPr>
            <w:r>
              <w:rPr>
                <w:rFonts w:ascii="Arial" w:cs="Arial" w:eastAsia="Arial" w:hAnsi="Arial"/>
                <w:sz w:val="14"/>
                <w:szCs w:val="14"/>
                <w:b w:val="1"/>
                <w:bCs w:val="1"/>
                <w:color w:val="auto"/>
                <w:w w:val="93"/>
              </w:rPr>
              <w:t>Fair Value Measurements as of December 31, 2022</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160"/>
              <w:spacing w:after="0"/>
              <w:rPr>
                <w:sz w:val="20"/>
                <w:szCs w:val="20"/>
                <w:color w:val="auto"/>
              </w:rPr>
            </w:pPr>
            <w:r>
              <w:rPr>
                <w:rFonts w:ascii="Arial" w:cs="Arial" w:eastAsia="Arial" w:hAnsi="Arial"/>
                <w:sz w:val="18"/>
                <w:szCs w:val="18"/>
                <w:color w:val="auto"/>
                <w:w w:val="94"/>
              </w:rPr>
              <w:t>Commercial paper ($26,669 included in cash and cash equivalents) $</w:t>
            </w:r>
          </w:p>
        </w:tc>
        <w:tc>
          <w:tcPr>
            <w:tcW w:w="1140" w:type="dxa"/>
            <w:vAlign w:val="bottom"/>
          </w:tcPr>
          <w:p>
            <w:pPr>
              <w:jc w:val="right"/>
              <w:spacing w:after="0"/>
              <w:rPr>
                <w:sz w:val="20"/>
                <w:szCs w:val="20"/>
                <w:color w:val="auto"/>
              </w:rPr>
            </w:pPr>
            <w:r>
              <w:rPr>
                <w:rFonts w:ascii="Arial" w:cs="Arial" w:eastAsia="Arial" w:hAnsi="Arial"/>
                <w:sz w:val="18"/>
                <w:szCs w:val="18"/>
                <w:color w:val="auto"/>
              </w:rPr>
              <w:t>96,899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96,899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bills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5040" w:type="dxa"/>
            <w:vAlign w:val="bottom"/>
          </w:tcPr>
          <w:p>
            <w:pPr>
              <w:ind w:left="160"/>
              <w:spacing w:after="0" w:line="189" w:lineRule="exact"/>
              <w:rPr>
                <w:sz w:val="20"/>
                <w:szCs w:val="20"/>
                <w:color w:val="auto"/>
              </w:rPr>
            </w:pPr>
            <w:r>
              <w:rPr>
                <w:rFonts w:ascii="Arial" w:cs="Arial" w:eastAsia="Arial" w:hAnsi="Arial"/>
                <w:sz w:val="18"/>
                <w:szCs w:val="18"/>
                <w:color w:val="auto"/>
                <w:w w:val="91"/>
              </w:rPr>
              <w:t>U.S. government agency bonds ($3,976 included in cash and cash</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63,659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63,659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5040" w:type="dxa"/>
            <w:vAlign w:val="bottom"/>
          </w:tcPr>
          <w:p>
            <w:pPr>
              <w:ind w:left="160"/>
              <w:spacing w:after="0" w:line="189" w:lineRule="exact"/>
              <w:rPr>
                <w:sz w:val="20"/>
                <w:szCs w:val="20"/>
                <w:color w:val="auto"/>
              </w:rPr>
            </w:pPr>
            <w:r>
              <w:rPr>
                <w:rFonts w:ascii="Arial" w:cs="Arial" w:eastAsia="Arial" w:hAnsi="Arial"/>
                <w:sz w:val="18"/>
                <w:szCs w:val="18"/>
                <w:color w:val="auto"/>
              </w:rPr>
              <w:t>Money market fund investments (included in cash and cash</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27,693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27,693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fair value of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317,036</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MSKCC success payments liability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36"/>
        </w:trPr>
        <w:tc>
          <w:tcPr>
            <w:tcW w:w="5040" w:type="dxa"/>
            <w:vAlign w:val="bottom"/>
          </w:tcPr>
          <w:p>
            <w:pPr>
              <w:ind w:left="340"/>
              <w:spacing w:after="0"/>
              <w:rPr>
                <w:sz w:val="20"/>
                <w:szCs w:val="20"/>
                <w:color w:val="auto"/>
              </w:rPr>
            </w:pPr>
            <w:r>
              <w:rPr>
                <w:rFonts w:ascii="Arial" w:cs="Arial" w:eastAsia="Arial" w:hAnsi="Arial"/>
                <w:sz w:val="18"/>
                <w:szCs w:val="18"/>
                <w:color w:val="auto"/>
              </w:rPr>
              <w:t>Total fair value of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and amortized cost of cash equivalents and available-for-sale marketable securities by major security type as of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are presented in the following tables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5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336"/>
              <w:spacing w:after="0" w:line="153"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Estimated</w:t>
            </w:r>
          </w:p>
        </w:tc>
      </w:tr>
      <w:tr>
        <w:trPr>
          <w:trHeight w:val="192"/>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96"/>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455"/>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r>
      <w:tr>
        <w:trPr>
          <w:trHeight w:val="194"/>
        </w:trPr>
        <w:tc>
          <w:tcPr>
            <w:tcW w:w="502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U.S. Treasury bills ($18,295 included in cash and cash</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44"/>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160,455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159,788</w:t>
            </w: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57,010</w:t>
            </w:r>
          </w:p>
        </w:tc>
      </w:tr>
      <w:tr>
        <w:trPr>
          <w:trHeight w:val="24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investments (included in cash equivalents)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47,899</w:t>
            </w: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15,655</w:t>
            </w:r>
          </w:p>
        </w:tc>
      </w:tr>
      <w:tr>
        <w:trPr>
          <w:trHeight w:val="243"/>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12,169</w:t>
            </w:r>
          </w:p>
        </w:tc>
      </w:tr>
      <w:tr>
        <w:trPr>
          <w:trHeight w:val="236"/>
        </w:trPr>
        <w:tc>
          <w:tcPr>
            <w:tcW w:w="5020" w:type="dxa"/>
            <w:vAlign w:val="bottom"/>
          </w:tcPr>
          <w:p>
            <w:pPr>
              <w:ind w:left="340"/>
              <w:spacing w:after="0"/>
              <w:rPr>
                <w:sz w:val="20"/>
                <w:szCs w:val="20"/>
                <w:color w:val="auto"/>
              </w:rPr>
            </w:pPr>
            <w:r>
              <w:rPr>
                <w:rFonts w:ascii="Arial" w:cs="Arial" w:eastAsia="Arial" w:hAnsi="Arial"/>
                <w:sz w:val="18"/>
                <w:szCs w:val="18"/>
                <w:color w:val="auto"/>
              </w:rPr>
              <w:t>Total cash equivalents and marketable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293,657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292,521</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5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Classified as: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66,194</w:t>
            </w: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Marketable securities, short-term</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193,038</w:t>
            </w:r>
          </w:p>
        </w:tc>
      </w:tr>
      <w:tr>
        <w:trPr>
          <w:trHeight w:val="243"/>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 long-term</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33,289</w:t>
            </w: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Total cash equivalents and marketable securities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292,521</w:t>
            </w: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As of December 31, 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335"/>
              <w:spacing w:after="0" w:line="147"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336"/>
              <w:spacing w:after="0" w:line="147"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315"/>
              <w:spacing w:after="0" w:line="147"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95"/>
              <w:spacing w:after="0" w:line="147"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96"/>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455"/>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 ($26,669 included in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96,899</w:t>
            </w:r>
          </w:p>
        </w:tc>
        <w:tc>
          <w:tcPr>
            <w:tcW w:w="0" w:type="dxa"/>
            <w:vAlign w:val="bottom"/>
          </w:tcPr>
          <w:p>
            <w:pPr>
              <w:spacing w:after="0"/>
              <w:rPr>
                <w:sz w:val="1"/>
                <w:szCs w:val="1"/>
                <w:color w:val="auto"/>
              </w:rPr>
            </w:pPr>
          </w:p>
        </w:tc>
      </w:tr>
      <w:tr>
        <w:trPr>
          <w:trHeight w:val="237"/>
        </w:trPr>
        <w:tc>
          <w:tcPr>
            <w:tcW w:w="5020" w:type="dxa"/>
            <w:vAlign w:val="bottom"/>
          </w:tcPr>
          <w:p>
            <w:pPr>
              <w:ind w:left="160"/>
              <w:spacing w:after="0"/>
              <w:rPr>
                <w:sz w:val="20"/>
                <w:szCs w:val="20"/>
                <w:color w:val="auto"/>
              </w:rPr>
            </w:pPr>
            <w:r>
              <w:rPr>
                <w:rFonts w:ascii="Arial" w:cs="Arial" w:eastAsia="Arial" w:hAnsi="Arial"/>
                <w:sz w:val="18"/>
                <w:szCs w:val="18"/>
                <w:color w:val="auto"/>
              </w:rPr>
              <w:t>U.S. Treasury bills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91,966</w:t>
            </w:r>
          </w:p>
        </w:tc>
        <w:tc>
          <w:tcPr>
            <w:tcW w:w="0" w:type="dxa"/>
            <w:vAlign w:val="bottom"/>
          </w:tcPr>
          <w:p>
            <w:pPr>
              <w:spacing w:after="0"/>
              <w:rPr>
                <w:sz w:val="1"/>
                <w:szCs w:val="1"/>
                <w:color w:val="auto"/>
              </w:rPr>
            </w:pPr>
          </w:p>
        </w:tc>
      </w:tr>
      <w:tr>
        <w:trPr>
          <w:trHeight w:val="194"/>
        </w:trPr>
        <w:tc>
          <w:tcPr>
            <w:tcW w:w="502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w w:val="91"/>
              </w:rPr>
              <w:t>U.S. government agency bonds ($3,976 included in cash and cash</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63,659</w:t>
            </w:r>
          </w:p>
        </w:tc>
        <w:tc>
          <w:tcPr>
            <w:tcW w:w="0" w:type="dxa"/>
            <w:vAlign w:val="bottom"/>
          </w:tcPr>
          <w:p>
            <w:pPr>
              <w:spacing w:after="0"/>
              <w:rPr>
                <w:sz w:val="1"/>
                <w:szCs w:val="1"/>
                <w:color w:val="auto"/>
              </w:rPr>
            </w:pPr>
          </w:p>
        </w:tc>
      </w:tr>
      <w:tr>
        <w:trPr>
          <w:trHeight w:val="237"/>
        </w:trPr>
        <w:tc>
          <w:tcPr>
            <w:tcW w:w="5020" w:type="dxa"/>
            <w:vAlign w:val="bottom"/>
          </w:tcPr>
          <w:p>
            <w:pPr>
              <w:ind w:left="16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36,819</w:t>
            </w: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investments (included in cash equivalents)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27,693</w:t>
            </w:r>
          </w:p>
        </w:tc>
        <w:tc>
          <w:tcPr>
            <w:tcW w:w="0" w:type="dxa"/>
            <w:vAlign w:val="bottom"/>
          </w:tcPr>
          <w:p>
            <w:pPr>
              <w:spacing w:after="0"/>
              <w:rPr>
                <w:sz w:val="1"/>
                <w:szCs w:val="1"/>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Total cash equivalents and marketable securities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318,555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317,036</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160"/>
              <w:spacing w:after="0"/>
              <w:rPr>
                <w:sz w:val="20"/>
                <w:szCs w:val="20"/>
                <w:color w:val="auto"/>
              </w:rPr>
            </w:pPr>
            <w:r>
              <w:rPr>
                <w:rFonts w:ascii="Arial" w:cs="Arial" w:eastAsia="Arial" w:hAnsi="Arial"/>
                <w:sz w:val="18"/>
                <w:szCs w:val="18"/>
                <w:color w:val="auto"/>
              </w:rPr>
              <w:t>Classified as: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58,338</w:t>
            </w:r>
          </w:p>
        </w:tc>
        <w:tc>
          <w:tcPr>
            <w:tcW w:w="0" w:type="dxa"/>
            <w:vAlign w:val="bottom"/>
          </w:tcPr>
          <w:p>
            <w:pPr>
              <w:spacing w:after="0"/>
              <w:rPr>
                <w:sz w:val="1"/>
                <w:szCs w:val="1"/>
                <w:color w:val="auto"/>
              </w:rPr>
            </w:pPr>
          </w:p>
        </w:tc>
      </w:tr>
      <w:tr>
        <w:trPr>
          <w:trHeight w:val="237"/>
        </w:trPr>
        <w:tc>
          <w:tcPr>
            <w:tcW w:w="5020" w:type="dxa"/>
            <w:vAlign w:val="bottom"/>
          </w:tcPr>
          <w:p>
            <w:pPr>
              <w:ind w:left="160"/>
              <w:spacing w:after="0"/>
              <w:rPr>
                <w:sz w:val="20"/>
                <w:szCs w:val="20"/>
                <w:color w:val="auto"/>
              </w:rPr>
            </w:pPr>
            <w:r>
              <w:rPr>
                <w:rFonts w:ascii="Arial" w:cs="Arial" w:eastAsia="Arial" w:hAnsi="Arial"/>
                <w:sz w:val="18"/>
                <w:szCs w:val="18"/>
                <w:color w:val="auto"/>
              </w:rPr>
              <w:t>Marketable securities, short-term</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189,325</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Marketable securities, long-term</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69,373</w:t>
            </w:r>
          </w:p>
        </w:tc>
        <w:tc>
          <w:tcPr>
            <w:tcW w:w="0" w:type="dxa"/>
            <w:vAlign w:val="bottom"/>
          </w:tcPr>
          <w:p>
            <w:pPr>
              <w:spacing w:after="0"/>
              <w:rPr>
                <w:sz w:val="1"/>
                <w:szCs w:val="1"/>
                <w:color w:val="auto"/>
              </w:rPr>
            </w:pPr>
          </w:p>
        </w:tc>
      </w:tr>
      <w:tr>
        <w:trPr>
          <w:trHeight w:val="236"/>
        </w:trPr>
        <w:tc>
          <w:tcPr>
            <w:tcW w:w="5020" w:type="dxa"/>
            <w:vAlign w:val="bottom"/>
          </w:tcPr>
          <w:p>
            <w:pPr>
              <w:ind w:left="160"/>
              <w:spacing w:after="0"/>
              <w:rPr>
                <w:sz w:val="20"/>
                <w:szCs w:val="20"/>
                <w:color w:val="auto"/>
              </w:rPr>
            </w:pPr>
            <w:r>
              <w:rPr>
                <w:rFonts w:ascii="Arial" w:cs="Arial" w:eastAsia="Arial" w:hAnsi="Arial"/>
                <w:sz w:val="18"/>
                <w:szCs w:val="18"/>
                <w:color w:val="auto"/>
              </w:rPr>
              <w:t>Total cash equivalents and marketable securities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317,036</w:t>
            </w:r>
          </w:p>
        </w:tc>
        <w:tc>
          <w:tcPr>
            <w:tcW w:w="0" w:type="dxa"/>
            <w:vAlign w:val="bottom"/>
          </w:tcPr>
          <w:p>
            <w:pPr>
              <w:spacing w:after="0"/>
              <w:rPr>
                <w:sz w:val="1"/>
                <w:szCs w:val="1"/>
                <w:color w:val="auto"/>
              </w:rPr>
            </w:pPr>
          </w:p>
        </w:tc>
      </w:tr>
      <w:tr>
        <w:trPr>
          <w:trHeight w:val="27"/>
        </w:trPr>
        <w:tc>
          <w:tcPr>
            <w:tcW w:w="9660" w:type="dxa"/>
            <w:vAlign w:val="bottom"/>
            <w:gridSpan w:val="9"/>
            <w:vMerge w:val="restart"/>
          </w:tcPr>
          <w:p>
            <w:pPr>
              <w:ind w:left="660"/>
              <w:spacing w:after="0"/>
              <w:rPr>
                <w:sz w:val="20"/>
                <w:szCs w:val="20"/>
                <w:color w:val="auto"/>
              </w:rPr>
            </w:pPr>
            <w:r>
              <w:rPr>
                <w:rFonts w:ascii="Arial" w:cs="Arial" w:eastAsia="Arial" w:hAnsi="Arial"/>
                <w:sz w:val="18"/>
                <w:szCs w:val="18"/>
                <w:color w:val="auto"/>
                <w:w w:val="95"/>
              </w:rPr>
              <w:t>The following table sets forth a summary of the changes in the fair value of our Level 3 financial liability (in thousands):</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9660" w:type="dxa"/>
            <w:vAlign w:val="bottom"/>
            <w:gridSpan w:val="9"/>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MSKCC Success</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liability for the MSKCC success payments is carried at fair value and changes are recognized as expense or income as part of other income (expense) until the success payments liability is paid or expires. We recorded a $0.3 million and $1.1 million change in the fair value of the MSKCC success payments liability as a gain in other income (expense) in our condensed consolidated statements of operations and comprehensive loss for the three months ended June 30, 2023, and 2022, respectively. We recorded $0.5 million and $2.6 million change in fair value of the MSKCC success payments liability as a gain in other income (expense) in our condensed consolidated statements of operations and comprehensive loss for the six months ended June 30, 2023, and 2022, respectively.</w:t>
      </w:r>
    </w:p>
    <w:p>
      <w:pPr>
        <w:spacing w:after="0" w:line="152"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As of December 31, 2022, we utilized a Monte Carlo simulation model that models the future movement of stock prices based on several key variables. This model requires significant estimates and assumptions in determining the estimated fair value of the MSKCC success payments liability at each balance sheet date. The assumptions used to calculate the fair value of the MSKCC success payments liability are subject to a significant amount of judgment including the expected volatility that was estimated using available information about the historical volatility of stocks of publicly traded companies that are similar to us, the estimated term, and the estimated number and timing of valuation measurement dates. The table below summarizes key assumptions used in the valuation of MSKCC success payments liability: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w w:val="85"/>
              </w:rPr>
              <w:t>As of</w:t>
            </w:r>
          </w:p>
        </w:tc>
      </w:tr>
      <w:tr>
        <w:trPr>
          <w:trHeight w:val="139"/>
        </w:trPr>
        <w:tc>
          <w:tcPr>
            <w:tcW w:w="48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37"/>
              <w:spacing w:after="0" w:line="139" w:lineRule="exact"/>
              <w:rPr>
                <w:sz w:val="20"/>
                <w:szCs w:val="20"/>
                <w:color w:val="auto"/>
              </w:rPr>
            </w:pPr>
            <w:r>
              <w:rPr>
                <w:rFonts w:ascii="Arial" w:cs="Arial" w:eastAsia="Arial" w:hAnsi="Arial"/>
                <w:sz w:val="14"/>
                <w:szCs w:val="14"/>
                <w:b w:val="1"/>
                <w:bCs w:val="1"/>
                <w:color w:val="auto"/>
                <w:w w:val="90"/>
              </w:rPr>
              <w:t>December 31,</w:t>
            </w:r>
          </w:p>
        </w:tc>
      </w:tr>
      <w:tr>
        <w:trPr>
          <w:trHeight w:val="186"/>
        </w:trPr>
        <w:tc>
          <w:tcPr>
            <w:tcW w:w="48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2022</w:t>
            </w:r>
          </w:p>
        </w:tc>
      </w:tr>
      <w:tr>
        <w:trPr>
          <w:trHeight w:val="25"/>
        </w:trPr>
        <w:tc>
          <w:tcPr>
            <w:tcW w:w="484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49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4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4840" w:type="dxa"/>
            <w:vAlign w:val="bottom"/>
          </w:tcPr>
          <w:p>
            <w:pPr>
              <w:ind w:left="20"/>
              <w:spacing w:after="0" w:line="243" w:lineRule="exact"/>
              <w:rPr>
                <w:sz w:val="20"/>
                <w:szCs w:val="20"/>
                <w:color w:val="auto"/>
              </w:rPr>
            </w:pPr>
            <w:r>
              <w:rPr>
                <w:rFonts w:ascii="Arial" w:cs="Arial" w:eastAsia="Arial" w:hAnsi="Arial"/>
                <w:sz w:val="18"/>
                <w:szCs w:val="18"/>
                <w:color w:val="auto"/>
              </w:rPr>
              <w:t>Probability of achieving multiple of Initial Share Price</w:t>
            </w:r>
            <w:r>
              <w:rPr>
                <w:rFonts w:ascii="Arial" w:cs="Arial" w:eastAsia="Arial" w:hAnsi="Arial"/>
                <w:sz w:val="23"/>
                <w:szCs w:val="23"/>
                <w:color w:val="auto"/>
                <w:vertAlign w:val="superscript"/>
              </w:rPr>
              <w:t>(1)</w:t>
            </w:r>
          </w:p>
        </w:tc>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 to 10.6%</w:t>
            </w: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4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to 6.0</w:t>
            </w:r>
          </w:p>
        </w:tc>
      </w:tr>
      <w:tr>
        <w:trPr>
          <w:trHeight w:val="905"/>
        </w:trPr>
        <w:tc>
          <w:tcPr>
            <w:tcW w:w="4840" w:type="dxa"/>
            <w:vAlign w:val="bottom"/>
          </w:tcPr>
          <w:p>
            <w:pPr>
              <w:spacing w:after="0"/>
              <w:rPr>
                <w:sz w:val="24"/>
                <w:szCs w:val="24"/>
                <w:color w:val="auto"/>
              </w:rPr>
            </w:pPr>
          </w:p>
        </w:tc>
        <w:tc>
          <w:tcPr>
            <w:tcW w:w="4900" w:type="dxa"/>
            <w:vAlign w:val="bottom"/>
          </w:tcPr>
          <w:p>
            <w:pPr>
              <w:jc w:val="right"/>
              <w:ind w:right="399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1"/>
        </w:trPr>
        <w:tc>
          <w:tcPr>
            <w:tcW w:w="4840" w:type="dxa"/>
            <w:vAlign w:val="bottom"/>
            <w:tcBorders>
              <w:bottom w:val="single" w:sz="8" w:color="9A9A9A"/>
            </w:tcBorders>
          </w:tcPr>
          <w:p>
            <w:pPr>
              <w:spacing w:after="0"/>
              <w:rPr>
                <w:sz w:val="8"/>
                <w:szCs w:val="8"/>
                <w:color w:val="auto"/>
              </w:rPr>
            </w:pPr>
          </w:p>
        </w:tc>
        <w:tc>
          <w:tcPr>
            <w:tcW w:w="4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8"/>
        <w:spacing w:after="0" w:line="278"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MSKCC is entitled to certain success payments if our common stock fair value increases by certain multiples of value based on a comparison of the fair market value of our common stock to $5.1914 per share, adjusted for any future stock splits (the “Initial Share Price”), during a specified time period. For further information regarding our agreement with MSKCC, see Note 4 to the consolidated financial statements included in our Form 10-K.</w:t>
      </w:r>
    </w:p>
    <w:p>
      <w:pPr>
        <w:spacing w:after="0" w:line="11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computation of expected volatility was estimated using a combination of available information about the historical volatility of stocks of similar publicly traded companies for a period matching the expected term assumption and the historical and implied volatility of our stock. The risk-free interest rate, expected volatility, and expected term assumptions depend on the estimated timing of our phase 1 clinical trial for our CB-012 product candidate utilizing the know-how, biological materials, and intellectual property licensed under the Exclusive License Agreement, dated November 13, 2020, with MSKCC (the “MSKCC Agreement”) and the estimated timing of marketing approval for this product candidate from the U.S. Food and Drug Administration (“FDA”). In addition, we incorporated the estimated number and timing of valuation measurement dates in the calculation of the MSKCC success payments liability.</w:t>
      </w:r>
    </w:p>
    <w:p>
      <w:pPr>
        <w:spacing w:after="0" w:line="16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June 30, 2023, we did not note any significant changes to the inputs used in the MSKCC success payments liability fair value calculation, other than a change in the fair value of our common stock to $4.25 per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Significant Agreements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Since December 31, 2022, there have been no material changes to the key terms of our significant agreements other than the addition of the Pfizer Inc. (“Pfizer”) investment agreements. See Note 15 to our unaudited condensed consolidated financial statements included elsewhere in this Form 10-Q for additional information on the Pfizer agreements. For further information regarding our significant agreements, see Note 4 to the consolidated financial statements included in our Form 10-K.</w:t>
      </w:r>
    </w:p>
    <w:p>
      <w:pPr>
        <w:spacing w:after="0" w:line="16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February 9, 2021, we entered into a Collaboration and License Agreement (as amended, the “AbbVie Agreement”) with AbbVie Manufacturing Management Unlimited Company (“AbbVie”). We received an upfront cash payment of $30.0 million from AbbVie during the year ended December 31, 2021. We recognized short-term deferred revenue in the amount of $10.0 million and long-term deferred revenue in the amount of $10.8 million related to this upfront cash payment in our condensed consolidated balance sheets as of June 30, 2023. We recognized short-term deferred revenue in the amount of $9.4 million and long-term deferred revenue in the amount of $13.3 million related to this upfront cash payment in our consolidated balance sheets as of December 31, 2022.</w:t>
      </w:r>
    </w:p>
    <w:p>
      <w:pPr>
        <w:spacing w:after="0" w:line="1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recognized $1.4 million and $2.9 million in revenue for the three months ended June 30, 2023, and 2022, respectively, relating to the AbbVie Agreement. We recognized $3.0 million and $3.8 million in revenue for the six months ended June 30, 2023, and 2022, respectively, relating to the AbbVie Agreement. As of June 30, 2023, we recorded $0.6 million in accounts receivable and as of December 31, 2022, we had recorded no amounts in accounts receivable in our condensed consolidated balance sheets. As of June 30, 2023, and December 31, 2022, we had $0.5 million and $0.9 million, respectively, in contract assets in our condensed consolidated balance sheets.</w:t>
      </w:r>
    </w:p>
    <w:p>
      <w:pPr>
        <w:spacing w:after="0" w:line="14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enter into agreements with third parties to in-license intellectual property and related materials and know-how. These agreements may include non-refundable, upfront payments; annual license maintenance fees; sublicensing fees; obligations to reimburse for patent prosecution and maintenance fees; success payments; regulatory clinical and commercial milestones; and royalty payments. Our obligation to make such payments is contingent upon milestones being achieved, licensed products being commercialized, and the agreements remaining in effect.</w:t>
      </w:r>
    </w:p>
    <w:p>
      <w:pPr>
        <w:spacing w:after="0" w:line="14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 the three months ended June 30, 2023, and 2022, we recorded $0.4 million and $0.2 million, respectively, as research and development expense in our condensed consolidated statements of operations related to our license agreements. For the six months ended June 30, 2023, and 2022, we recorded $0.8 million and $0.5 million, respectively, as research and development expense in our condensed consolidated statements of operations related to our license agreements. For the three months ended June 30, 2023, and 2022, we recorded $1.0 million and $1.2 million, respectively, as general and administrative expense for patent prosecution and maintenance costs in our condensed consolidated statements of operations and comprehensive loss, which includes reimbursements of patent prosecution and maintenance costs of $0.7 million and $0.7 million, respectively, from CRISPR Therapeutics AG and Intellia Therapeutics, Inc. For the six months ended June 30, 2023, and 2022, we recorded $1.8 million and $3.7 million, respectively, as general and administrative expense for patent prosecution and maintenance costs in our condensed consolidated statements of</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operations and comprehensive loss, which includes reimbursements of patent prosecution and maintenance costs of $1.1 million and $2.1 million, respectively, from CRISPR Therapeutics AG and Intellia Therapeutics, Inc.</w:t>
      </w:r>
    </w:p>
    <w:p>
      <w:pPr>
        <w:spacing w:after="0" w:line="14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June 30, 2023, certain license and assignment agreements included potential future payments from us for development, regulatory, and sales milestones totaling approximately $161.2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disaggregate revenue by geographical market based on the location of research and development activities of our licensees and collaborators.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revenue by geographic location for the three and six months ended June 30, 2023, and 2022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0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3,746</w:t>
            </w:r>
          </w:p>
        </w:tc>
        <w:tc>
          <w:tcPr>
            <w:tcW w:w="10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4,183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Rest of world</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3,755</w:t>
            </w:r>
          </w:p>
        </w:tc>
        <w:tc>
          <w:tcPr>
            <w:tcW w:w="10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4,192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three months ended June 30, 2023, we recognized $2.4 million of revenue related to performance obligations satisfied at a point in time, and we recognized $1.4 million of revenue related to performance obligations satisfied over time.</w:t>
      </w:r>
    </w:p>
    <w:p>
      <w:pPr>
        <w:spacing w:after="0" w:line="14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three months ended June 30, 2022, we recognized $1.3 million of revenue related to performance obligations satisfied at a point in time, and we recognized $2.9 million of revenue related to performance obligations satisfied over time.</w:t>
      </w:r>
    </w:p>
    <w:p>
      <w:pPr>
        <w:spacing w:after="0" w:line="13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six months ended June 30, 2023, we recognized $4.3 million of revenue related to performance obligations satisfied at a point in time, and we recognized $3.0 million of revenue related to performance obligations satisfied over time.</w:t>
      </w:r>
    </w:p>
    <w:p>
      <w:pPr>
        <w:spacing w:after="0" w:line="13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six months ended June 30, 2022, we recognized $3.1 million of revenue related to performance obligations satisfied at a point in time, and we recognized $3.8 million of revenue related to performance obligations satisfied over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Accounts receivable relate to our right to consideration for performance obligations completed (or partially completed) for which we have an unconditional right to consideration. Our accounts receivable balances represent amounts that we billed to our licensees with invoices outstanding as of the end of a reporting period.</w:t>
      </w:r>
    </w:p>
    <w:p>
      <w:pPr>
        <w:spacing w:after="0" w:line="14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Contract assets are rights to consideration in exchange for a license that we have granted to a licensee when the right is conditional on something other than the passage of time. Our contract asset balances represent research costs related to the AbbVie Agreement, as well as royalties and milestone payments from our other license agreements that are unbilled as of the end of a reporting period.</w:t>
      </w:r>
    </w:p>
    <w:p>
      <w:pPr>
        <w:spacing w:after="0" w:line="13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Contract liabilities consist of deferred revenue and relate to amounts invoiced to, or advance consideration received from, licensees that precede our satisfaction of the associated performance obligations. Our deferred revenue primarily results from the upfront payment received relating to the performance obligation that is satisfied over time under the AbbVie Agreement. The remaining deferred revenue relates to upfront payments received under license agreements that also include non-refundable annual license fees, which are accounted for as material rights for license renewals and are recognized at the point in time annual license fees are paid by the licensees and the renewal periods begin.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changes in our contract assets and liabilities during the six months ended June 30, 2023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Balance as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9"/>
              <w:spacing w:after="0" w:line="139"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9"/>
              <w:spacing w:after="0" w:line="13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39"/>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Unbilled accounts receivable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2,247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3,023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(3,789)</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current and long-term</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Unbilled accounts receivable decreased $0.8 million during the six months ended June 30, 2023, primarily due to the decrease in unbilled research costs under the AbbVie Agreement.</w:t>
      </w:r>
    </w:p>
    <w:p>
      <w:pPr>
        <w:spacing w:after="0" w:line="130"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Deferred revenue increased during the six months ended June 30, 2023, primarily due to the $7.5 million allocated to the Pfizer information sharing committee during the six months ended June 30, 2023. See Note 15 to our unaudited condensed consolidated financial statements included elsewhere in this Form 10-Q for additional information.</w:t>
      </w:r>
    </w:p>
    <w:p>
      <w:pPr>
        <w:spacing w:after="0" w:line="14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six months ended June 30, 2023, and 2022, we recognized $2.4 million and $2.5 million of revenue, respectively, which were included in the opening contract liabilities balances at the beginning of the respective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Prices Allocated to Remaining Performance Obligations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Remaining performance obligations represent in aggregate the amount of a transaction price that has been allocated to performance obligations not delivered as of the end of a reporting period. The value of transaction prices allocated to remaining unsatisfied performance obligations as of June 30, 2023, was approximately $43.9 million. We expect to recognize approximately $13.0 million of remaining performance obligations as revenue in the next 12 months and to recognize the remainder thereafter.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Contract Acquisition Costs and Fulfillment Costs</w:t>
      </w:r>
    </w:p>
    <w:p>
      <w:pPr>
        <w:spacing w:after="0" w:line="19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did not incur any expenses to obtain license and collaboration agreements, and costs to fulfill those contracts do not generate or enhance our resources. As such, no costs to obtain or fulfill a contract have been capitalized in any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receivables consisted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 cost reimbursements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Accrued interest on marketable securities</w:t>
            </w: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4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1,495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r>
      <w:tr>
        <w:trPr>
          <w:trHeight w:val="27"/>
        </w:trPr>
        <w:tc>
          <w:tcPr>
            <w:tcW w:w="8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contract manufacturing and clinical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income taxes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0" w:type="dxa"/>
            <w:vAlign w:val="bottom"/>
          </w:tcPr>
          <w:p>
            <w:pPr>
              <w:spacing w:after="0"/>
              <w:rPr>
                <w:sz w:val="1"/>
                <w:szCs w:val="1"/>
                <w:color w:val="auto"/>
              </w:rPr>
            </w:pP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4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Total property and equipment, gross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16,327</w:t>
            </w:r>
          </w:p>
        </w:tc>
        <w:tc>
          <w:tcPr>
            <w:tcW w:w="0" w:type="dxa"/>
            <w:vAlign w:val="bottom"/>
          </w:tcPr>
          <w:p>
            <w:pPr>
              <w:spacing w:after="0"/>
              <w:rPr>
                <w:sz w:val="1"/>
                <w:szCs w:val="1"/>
                <w:color w:val="auto"/>
              </w:rPr>
            </w:pPr>
          </w:p>
        </w:tc>
      </w:tr>
      <w:tr>
        <w:trPr>
          <w:trHeight w:val="24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10,678</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Depreciation and amortization expenses related to property and equipment were $0.6 million and $0.4 million, respectively, for the three months ended June 30, 2023, and 2022. Depreciation and amortization expenses related to property and equipment were $1.2 million and $0.7 million, respectively, for the six months ended June 30, 2023, and 2022.</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95"/>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 compensation and related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6,731</w:t>
            </w:r>
          </w:p>
        </w:tc>
      </w:tr>
      <w:tr>
        <w:trPr>
          <w:trHeight w:val="24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patent expenses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Accrued expenses related to sublicensing revenues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4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16,079</w:t>
            </w:r>
          </w:p>
        </w:tc>
      </w:tr>
      <w:tr>
        <w:trPr>
          <w:trHeight w:val="27"/>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Edge Animal Health</w:t>
      </w:r>
    </w:p>
    <w:p>
      <w:pPr>
        <w:spacing w:after="0" w:line="18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May 15, 2020, we entered into an Exclusive License Agreement for Veterinary Therapeutics (as amended, the “Edge chRDNA License Agreement”) with Edge Animal Health (“Edge”), a private company, related party, under which we granted Edge an exclusive worldwide license to Cas9 and Cas12a chRDNA intellectual property rights and know-how in the defined field of veterinary therapeutics. As consideration for this exclusive license, Edge issued to us 7,500,000 shares of convertible preferred stock with an estimated fair value of $7.5 million, which was the price paid for similar shares by another investor, and which was an arm’s length transaction. This represents a material voting interest in Edge and entitles us to hold one of the four board of directors seats and to jointly vote with another stockholder on a second board of directors seat. As of June 30, 2023, we have appointed one of the four Edge directors. We concluded that Edge is a variable interest entity and that we are not its primary beneficiary based on our representation on its board of directors. As Edge’s convertible preferred stock is not in substance common stock, we record this investment using the measurement alternative in accordance with ASC 321, Investments–Equity Securities. Under the measurement alternative, our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investment in Edge’s convertible preferred stock was initially recorded at its estimated fair value, and the carrying value may be adjusted through earnings upon an impairment or when there is an observable price change involving the same or a similar investment with Edge. As of each of June 30, 2023, and December 31, 2022, the carrying value of the Edge investment was $7.5 million. There have been no changes to the carrying value of the investment during the three months ended June 30, 2023. We did not recognize any revenue in connection with the Edge chRDNA License Agreement for each of the three and six months ended June 30, 2023, and 2022.</w:t>
      </w:r>
    </w:p>
    <w:p>
      <w:pPr>
        <w:spacing w:after="0" w:line="16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May 16, 2023, we entered into an Exclusive License Agreement for Veterinary Therapeutics (CRISPR-Cas9) (the “Edge Cas9 License Agreement”), under which we granted Edge an exclusive worldwide license to certain CRISPR-Cas9 intellectual property rights in the field of veterinary therapeutics. Previously, on May 15, 2020, we had entered into an Option for an Exclusive License under which Edge could exercise its option within three years upon payment of a total of $1.2 million, which Edge paid, and we entered into the Edge Cas9 License Agreement. We recognized $1.2 million of revenues in connection with the Edge Cas9 License Agreement for each of the three and six months ended June 30, 2023. We did not recognize any revenues in connection with the Edge Cas9 License Agreement in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9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As of March 31, 2023 we had operating leases for our laboratory and office space in Berkeley, California, consisting of approximately 75,000 square feet, with remaining lease terms up to 9.3 years. Certain of our laboratory and office space lease agreements include options to extend the terms for a period of five years and also contain provisions for future rent increases. In addition to base rent, we pay our share of operating expenses and taxes.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lease costs, which are included in our statements of operations and comprehensive loss, were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90"/>
        </w:trPr>
        <w:tc>
          <w:tcPr>
            <w:tcW w:w="5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6"/>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1,928</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r>
      <w:tr>
        <w:trPr>
          <w:trHeight w:val="23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6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1,990</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firstLine="8"/>
        <w:spacing w:after="0" w:line="263"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$0.6 million and $0.5 million of variable lease cost related to operating expenses and taxes for the three months ended June 30, 2023, and 2022, respectively. Included $1.2 million and $1.0 million of variable lease cost related to operating expenses and taxes for the six months ended June 30, 2023, and 2022, respectively.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information related to our leases was as follows (in thousands):</w:t>
      </w:r>
    </w:p>
    <w:p>
      <w:pPr>
        <w:spacing w:after="0" w:line="230"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32385</wp:posOffset>
            </wp:positionV>
            <wp:extent cx="1954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62" w:lineRule="exact"/>
        <w:rPr>
          <w:sz w:val="20"/>
          <w:szCs w:val="20"/>
          <w:color w:val="auto"/>
        </w:rPr>
      </w:pPr>
    </w:p>
    <w:p>
      <w:pPr>
        <w:ind w:left="8760"/>
        <w:spacing w:after="0"/>
        <w:tabs>
          <w:tab w:leader="none" w:pos="103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-130175</wp:posOffset>
            </wp:positionV>
            <wp:extent cx="1954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6" w:lineRule="exact"/>
        <w:rPr>
          <w:sz w:val="20"/>
          <w:szCs w:val="20"/>
          <w:color w:val="auto"/>
        </w:rPr>
      </w:pPr>
    </w:p>
    <w:p>
      <w:pPr>
        <w:ind w:left="160"/>
        <w:spacing w:after="0"/>
        <w:tabs>
          <w:tab w:leader="none" w:pos="8160" w:val="left"/>
          <w:tab w:leader="none" w:pos="9160" w:val="left"/>
          <w:tab w:leader="none" w:pos="9740" w:val="left"/>
          <w:tab w:leader="none" w:pos="10740" w:val="left"/>
        </w:tabs>
        <w:rPr>
          <w:sz w:val="20"/>
          <w:szCs w:val="20"/>
          <w:color w:val="auto"/>
        </w:rPr>
      </w:pPr>
      <w:r>
        <w:rPr>
          <w:rFonts w:ascii="Arial" w:cs="Arial" w:eastAsia="Arial" w:hAnsi="Arial"/>
          <w:sz w:val="18"/>
          <w:szCs w:val="18"/>
          <w:color w:val="auto"/>
        </w:rPr>
        <w:t>Operating cash flows from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2,058</w:t>
        <w:tab/>
        <w:t>$</w:t>
      </w:r>
      <w:r>
        <w:rPr>
          <w:sz w:val="20"/>
          <w:szCs w:val="20"/>
          <w:color w:val="auto"/>
        </w:rPr>
        <w:tab/>
      </w:r>
      <w:r>
        <w:rPr>
          <w:rFonts w:ascii="Arial" w:cs="Arial" w:eastAsia="Arial" w:hAnsi="Arial"/>
          <w:sz w:val="15"/>
          <w:szCs w:val="15"/>
          <w:color w:val="auto"/>
        </w:rPr>
        <w:t>1,743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weighted-average remaining lease term and the weighted-average discount rate for our laboratory and office leases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060" w:type="dxa"/>
            <w:vAlign w:val="bottom"/>
          </w:tcPr>
          <w:p>
            <w:pPr>
              <w:jc w:val="center"/>
              <w:ind w:left="468"/>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90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700" w:type="dxa"/>
            <w:vAlign w:val="bottom"/>
            <w:gridSpan w:val="2"/>
          </w:tcPr>
          <w:p>
            <w:pPr>
              <w:jc w:val="right"/>
              <w:ind w:right="579"/>
              <w:spacing w:after="0"/>
              <w:rPr>
                <w:sz w:val="20"/>
                <w:szCs w:val="20"/>
                <w:color w:val="auto"/>
              </w:rPr>
            </w:pPr>
            <w:r>
              <w:rPr>
                <w:rFonts w:ascii="Arial" w:cs="Arial" w:eastAsia="Arial" w:hAnsi="Arial"/>
                <w:sz w:val="14"/>
                <w:szCs w:val="14"/>
                <w:b w:val="1"/>
                <w:bCs w:val="1"/>
                <w:color w:val="auto"/>
              </w:rPr>
              <w:t>2022</w:t>
            </w:r>
          </w:p>
        </w:tc>
      </w:tr>
      <w:tr>
        <w:trPr>
          <w:trHeight w:val="229"/>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0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540" w:type="dxa"/>
            <w:vAlign w:val="bottom"/>
          </w:tcPr>
          <w:p>
            <w:pPr>
              <w:jc w:val="right"/>
              <w:spacing w:after="0"/>
              <w:rPr>
                <w:sz w:val="20"/>
                <w:szCs w:val="20"/>
                <w:color w:val="auto"/>
              </w:rPr>
            </w:pPr>
            <w:r>
              <w:rPr>
                <w:rFonts w:ascii="Arial" w:cs="Arial" w:eastAsia="Arial" w:hAnsi="Arial"/>
                <w:sz w:val="18"/>
                <w:szCs w:val="18"/>
                <w:color w:val="auto"/>
                <w:w w:val="89"/>
              </w:rPr>
              <w:t>11.3 %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11.3 %</w:t>
            </w:r>
          </w:p>
        </w:tc>
      </w:tr>
      <w:tr>
        <w:trPr>
          <w:trHeight w:val="918"/>
        </w:trPr>
        <w:tc>
          <w:tcPr>
            <w:tcW w:w="7940" w:type="dxa"/>
            <w:vAlign w:val="bottom"/>
          </w:tcPr>
          <w:p>
            <w:pPr>
              <w:jc w:val="right"/>
              <w:ind w:right="2135"/>
              <w:spacing w:after="0"/>
              <w:rPr>
                <w:sz w:val="20"/>
                <w:szCs w:val="20"/>
                <w:color w:val="auto"/>
              </w:rPr>
            </w:pPr>
            <w:r>
              <w:rPr>
                <w:rFonts w:ascii="Arial" w:cs="Arial" w:eastAsia="Arial" w:hAnsi="Arial"/>
                <w:sz w:val="18"/>
                <w:szCs w:val="18"/>
                <w:color w:val="auto"/>
              </w:rPr>
              <w:t>14</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01"/>
        </w:trPr>
        <w:tc>
          <w:tcPr>
            <w:tcW w:w="79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a maturity analysis of our operating lease liabilities showing the aggregate lease payments as of June 30, 2023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r>
              <w:rPr>
                <w:rFonts w:ascii="Arial" w:cs="Arial" w:eastAsia="Arial" w:hAnsi="Arial"/>
                <w:sz w:val="23"/>
                <w:szCs w:val="23"/>
                <w:color w:val="auto"/>
                <w:vertAlign w:val="superscript"/>
              </w:rPr>
              <w:t>(1)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r>
      <w:tr>
        <w:trPr>
          <w:trHeight w:val="243"/>
        </w:trPr>
        <w:tc>
          <w:tcPr>
            <w:tcW w:w="9740" w:type="dxa"/>
            <w:vAlign w:val="bottom"/>
          </w:tcPr>
          <w:p>
            <w:pPr>
              <w:ind w:left="20"/>
              <w:spacing w:after="0" w:line="243" w:lineRule="exact"/>
              <w:rPr>
                <w:sz w:val="20"/>
                <w:szCs w:val="20"/>
                <w:color w:val="auto"/>
              </w:rPr>
            </w:pPr>
            <w:r>
              <w:rPr>
                <w:rFonts w:ascii="Arial" w:cs="Arial" w:eastAsia="Arial" w:hAnsi="Arial"/>
                <w:sz w:val="18"/>
                <w:szCs w:val="18"/>
                <w:color w:val="auto"/>
              </w:rPr>
              <w:t>2024</w:t>
            </w:r>
            <w:r>
              <w:rPr>
                <w:rFonts w:ascii="Arial" w:cs="Arial" w:eastAsia="Arial" w:hAnsi="Arial"/>
                <w:sz w:val="23"/>
                <w:szCs w:val="23"/>
                <w:color w:val="auto"/>
                <w:vertAlign w:val="superscript"/>
              </w:rPr>
              <w:t>(2)</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3,794</w:t>
            </w:r>
          </w:p>
        </w:tc>
      </w:tr>
      <w:tr>
        <w:trPr>
          <w:trHeight w:val="24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r>
      <w:tr>
        <w:trPr>
          <w:trHeight w:val="237"/>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5,720</w:t>
            </w:r>
          </w:p>
        </w:tc>
      </w:tr>
      <w:tr>
        <w:trPr>
          <w:trHeight w:val="24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r>
      <w:tr>
        <w:trPr>
          <w:trHeight w:val="23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22,116</w:t>
            </w:r>
          </w:p>
        </w:tc>
      </w:tr>
      <w:tr>
        <w:trPr>
          <w:trHeight w:val="243"/>
        </w:trPr>
        <w:tc>
          <w:tcPr>
            <w:tcW w:w="9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undiscounted lease payments</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43,391</w:t>
            </w:r>
          </w:p>
        </w:tc>
      </w:tr>
      <w:tr>
        <w:trPr>
          <w:trHeight w:val="23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(16,157)</w:t>
            </w:r>
          </w:p>
        </w:tc>
      </w:tr>
      <w:tr>
        <w:trPr>
          <w:trHeight w:val="243"/>
        </w:trPr>
        <w:tc>
          <w:tcPr>
            <w:tcW w:w="9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discounted lease payments</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27,234</w:t>
            </w:r>
          </w:p>
        </w:tc>
      </w:tr>
      <w:tr>
        <w:trPr>
          <w:trHeight w:val="23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lease liability</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r>
      <w:tr>
        <w:trPr>
          <w:trHeight w:val="262"/>
        </w:trPr>
        <w:tc>
          <w:tcPr>
            <w:tcW w:w="9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Noncurrent portion of lease liability</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26,155</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an offset of $0.8 million related to incentives expected to be received in 2023.</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an offset of $0.7 million related to incentives expected to be received in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Agreements</w:t>
      </w:r>
    </w:p>
    <w:p>
      <w:pPr>
        <w:spacing w:after="0" w:line="198"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We enter into various agreements in the ordinary course of business, such as those with suppliers, contract research organizations (“CROs”), contract manufacturing organizations (“CMOs”), clinical trial sites, and the like. These agreements provide for termination by either party in certain circumstances, generally with less than one-year notice and are, therefore, cancellable contracts and, if cancelled, are not anticipated to have a material effect on our condensed consolidated financial condition,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8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In the normal course of business, we enter into agreements that contain a variety of representations and warranties and provide for certain indemnifications by us. Our exposure under these agreements is unknown because claims may be made against us in the future. To date, we have not paid any claims or been required to defend any action related to our indemnification obligations. As of June 30, 2023, and December 31, 2022, we did not have any material indemnification claims that were probable or reasonably possible, and consequently, we have not recorded related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From time to time, we may become involved in litigation arising in the ordinary course of business. We record a liability for such litigation when it is probable that future losses will be incurred and if such losses can be reasonably estimated. Significant judgment by us is required to determine both probability and the estimated amount.</w:t>
      </w:r>
    </w:p>
    <w:p>
      <w:pPr>
        <w:spacing w:after="0" w:line="143" w:lineRule="exact"/>
        <w:rPr>
          <w:sz w:val="20"/>
          <w:szCs w:val="20"/>
          <w:color w:val="auto"/>
        </w:rPr>
      </w:pPr>
    </w:p>
    <w:p>
      <w:pPr>
        <w:jc w:val="both"/>
        <w:ind w:right="580" w:firstLine="648"/>
        <w:spacing w:after="0" w:line="286" w:lineRule="auto"/>
        <w:rPr>
          <w:sz w:val="20"/>
          <w:szCs w:val="20"/>
          <w:color w:val="auto"/>
        </w:rPr>
      </w:pPr>
      <w:r>
        <w:rPr>
          <w:rFonts w:ascii="Arial" w:cs="Arial" w:eastAsia="Arial" w:hAnsi="Arial"/>
          <w:sz w:val="17"/>
          <w:szCs w:val="17"/>
          <w:color w:val="auto"/>
        </w:rPr>
        <w:t>On February 10, 2023, a putative class action lawsuit was filed in the U.S. District Court for the Northern District of California against our company and certain of our officers and current and former members of our board of directors, Greenhalgh v. Caribou Biosciences, Inc., et al., Case Number 3:23-cv-00609-VC (the “Greenhalgh Case”). The Greenhalgh Case was voluntarily dismissed on March 16, 2023.</w:t>
      </w:r>
    </w:p>
    <w:p>
      <w:pPr>
        <w:spacing w:after="0" w:line="13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On April 11, 2023, a putative class action lawsuit was filed in the U.S. District Court for the Northern District of California against our company and certain of our officers and current and former members of our board of directors, Bergman v. Caribou Biosciences, Inc., et al., Case Number 4:23-cv-01742-YGR (the “Bergman Case”). The Bergman complaint challenges disclosures regarding our company’s business, operations, and prospects, specifically with respect to the alleged durability of CB-010’s therapeutic effect and the product candidate’s clinical and commercial prospects, in alleged violation of Sections 11 and 15 of the Securities Act of 1933, as amended (the “Securities Act”) and Sections 10(b) and 20(a) of the Securities Exchange Act of 1934, as amended (the “Exchange Act”).</w:t>
      </w:r>
    </w:p>
    <w:p>
      <w:pPr>
        <w:spacing w:after="0" w:line="1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Additionally, on March 22, 2023, a putative class action lawsuit was filed in Superior Court of the State of California for the County of Alameda against our company and certain of our officers and current and former members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our board of directors, Lowry v. Caribou Biosciences, Inc., et al., Case Number T23-1084 (the “Lowry Case”). The Lowry Case challenges disclosures regarding our company’s business, operations, and prospects, specifically with respect to the alleged durability of CB-010’s therapeutic effect and the product candidate’s clinical and commercial prospects, in alleged violation of Sections 11 and 15 of the Securities Act. The allegations and claims in the Lowry Case are substantially similar to the Securities Act claims asserted in the Bergman Case. On April 26, 2023, we filed a motion to stay the Lowry Case during the pendency of the parallel federal court litigation in the Bergman Case, and, on July 11, 2023, our motion to stay was denied.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these lawsuits are without merit.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reserved for future issuance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tcPr>
          <w:p>
            <w:pPr>
              <w:jc w:val="right"/>
              <w:ind w:right="495"/>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480" w:type="dxa"/>
            <w:vAlign w:val="bottom"/>
          </w:tcPr>
          <w:p>
            <w:pPr>
              <w:jc w:val="right"/>
              <w:ind w:right="499"/>
              <w:spacing w:after="0"/>
              <w:rPr>
                <w:sz w:val="20"/>
                <w:szCs w:val="20"/>
                <w:color w:val="auto"/>
              </w:rPr>
            </w:pPr>
            <w:r>
              <w:rPr>
                <w:rFonts w:ascii="Arial" w:cs="Arial" w:eastAsia="Arial" w:hAnsi="Arial"/>
                <w:sz w:val="14"/>
                <w:szCs w:val="14"/>
                <w:b w:val="1"/>
                <w:bCs w:val="1"/>
                <w:color w:val="auto"/>
              </w:rPr>
              <w:t>As of</w:t>
            </w:r>
          </w:p>
        </w:tc>
      </w:tr>
      <w:tr>
        <w:trPr>
          <w:trHeight w:val="196"/>
        </w:trPr>
        <w:tc>
          <w:tcPr>
            <w:tcW w:w="81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December 31, 2022</w:t>
            </w: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9,253,848</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6,733,074</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Stock options, authorized for future issuance</w:t>
            </w:r>
          </w:p>
        </w:tc>
        <w:tc>
          <w:tcPr>
            <w:tcW w:w="1480" w:type="dxa"/>
            <w:vAlign w:val="bottom"/>
          </w:tcPr>
          <w:p>
            <w:pPr>
              <w:jc w:val="right"/>
              <w:spacing w:after="0"/>
              <w:rPr>
                <w:sz w:val="20"/>
                <w:szCs w:val="20"/>
                <w:color w:val="auto"/>
              </w:rPr>
            </w:pPr>
            <w:r>
              <w:rPr>
                <w:rFonts w:ascii="Arial" w:cs="Arial" w:eastAsia="Arial" w:hAnsi="Arial"/>
                <w:sz w:val="18"/>
                <w:szCs w:val="18"/>
                <w:color w:val="auto"/>
              </w:rPr>
              <w:t>6,246,232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5,833,979</w:t>
            </w:r>
          </w:p>
        </w:tc>
      </w:tr>
      <w:tr>
        <w:trPr>
          <w:trHeight w:val="24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available under our employee stock purchase plan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1,584,538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1,044,518</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Unvested restricted stock units and performance-based restricted stock units</w:t>
            </w:r>
          </w:p>
        </w:tc>
        <w:tc>
          <w:tcPr>
            <w:tcW w:w="1480" w:type="dxa"/>
            <w:vAlign w:val="bottom"/>
          </w:tcPr>
          <w:p>
            <w:pPr>
              <w:jc w:val="right"/>
              <w:spacing w:after="0"/>
              <w:rPr>
                <w:sz w:val="20"/>
                <w:szCs w:val="20"/>
                <w:color w:val="auto"/>
              </w:rPr>
            </w:pPr>
            <w:r>
              <w:rPr>
                <w:rFonts w:ascii="Arial" w:cs="Arial" w:eastAsia="Arial" w:hAnsi="Arial"/>
                <w:sz w:val="18"/>
                <w:szCs w:val="18"/>
                <w:color w:val="auto"/>
              </w:rPr>
              <w:t>233,035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256,146</w:t>
            </w:r>
          </w:p>
        </w:tc>
      </w:tr>
      <w:tr>
        <w:trPr>
          <w:trHeight w:val="262"/>
        </w:trPr>
        <w:tc>
          <w:tcPr>
            <w:tcW w:w="816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17,317,653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13,867,717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185"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On August 9, 2022, we filed a shelf registration statement on Form S-3 (“Shelf Registration Statement”) with the U.S. Securities and Exchange Commission (“SEC”). The Shelf Registration Statement allows us to sell from time to time up to $400.0 million of common stock, preferred stock, debt securities, warrants, rights, or units comprised of any combination of these securities, for our own account in one or more offerings (including the $100.0 million of common stock reserved for our at-the-market equity offering program described below). The SEC declared the Shelf Registration Statement effective on August 16, 2022. The terms of any offering under the Shelf Registration Statement will be established at the time of such offering and will be described in a prospectus supplement to the Shelf Registration Statement filed with the SEC prior to the completion of any such offering.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Offering Program</w:t>
      </w:r>
    </w:p>
    <w:p>
      <w:pPr>
        <w:spacing w:after="0" w:line="180" w:lineRule="exact"/>
        <w:rPr>
          <w:sz w:val="20"/>
          <w:szCs w:val="20"/>
          <w:color w:val="auto"/>
        </w:rPr>
      </w:pPr>
    </w:p>
    <w:p>
      <w:pPr>
        <w:ind w:right="140" w:firstLine="648"/>
        <w:spacing w:after="0" w:line="258" w:lineRule="auto"/>
        <w:rPr>
          <w:sz w:val="20"/>
          <w:szCs w:val="20"/>
          <w:color w:val="auto"/>
        </w:rPr>
      </w:pPr>
      <w:r>
        <w:rPr>
          <w:rFonts w:ascii="Arial" w:cs="Arial" w:eastAsia="Arial" w:hAnsi="Arial"/>
          <w:sz w:val="17"/>
          <w:szCs w:val="17"/>
          <w:color w:val="auto"/>
        </w:rPr>
        <w:t>On August 9, 2022, we also entered into an Open Market Sale Agreement</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(the “ATM Sales Agreement”) with Jefferies LLC (“Jefferies”) with respect to an at-the-market (“ATM”) equity offering program, pursuant to which, through Jefferies as sales agent, we may from time to time, sell shares of our common stock having an aggregate offering price of up to $100.0 million in gross proceeds under the Shelf Registration Statement. During the six months ended June 30, 2023, we sold 168,635 shares of our common stock under the ATM Sales Agreement at an average price per share of $7.32 for aggregate gross proceeds of $1.2 million ($1.0 million net of offering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8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 July 2021, our board of directors adopted and our stockholders approved the 2021 Equity Incentive Plan (the “2021 Plan”) that became effective on July 22, 2021. As of June 30, 2023, we had 6,246,232 shares available for issuance under the 2021 Plan.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under our equity incentive plans during the six months ended June 30, 2023:</w:t>
      </w:r>
    </w:p>
    <w:p>
      <w:pPr>
        <w:spacing w:after="0" w:line="220"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Weighted-</w:t>
      </w:r>
    </w:p>
    <w:p>
      <w:pPr>
        <w:jc w:val="center"/>
        <w:ind w:left="6560"/>
        <w:spacing w:after="0" w:line="221" w:lineRule="auto"/>
        <w:rPr>
          <w:sz w:val="20"/>
          <w:szCs w:val="20"/>
          <w:color w:val="auto"/>
        </w:rPr>
      </w:pPr>
      <w:r>
        <w:rPr>
          <w:rFonts w:ascii="Arial" w:cs="Arial" w:eastAsia="Arial" w:hAnsi="Arial"/>
          <w:sz w:val="14"/>
          <w:szCs w:val="14"/>
          <w:b w:val="1"/>
          <w:bCs w:val="1"/>
          <w:color w:val="auto"/>
        </w:rPr>
        <w:t>Average</w:t>
      </w:r>
    </w:p>
    <w:tbl>
      <w:tblPr>
        <w:tblLayout w:type="fixed"/>
        <w:tblInd w:w="0" w:type="dxa"/>
        <w:tblCellMar>
          <w:top w:w="0" w:type="dxa"/>
          <w:left w:w="0" w:type="dxa"/>
          <w:bottom w:w="0" w:type="dxa"/>
          <w:right w:w="0" w:type="dxa"/>
        </w:tblCellMar>
      </w:tblPr>
      <w:tr>
        <w:trPr>
          <w:trHeight w:val="133"/>
        </w:trPr>
        <w:tc>
          <w:tcPr>
            <w:tcW w:w="50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319"/>
              <w:spacing w:after="0" w:line="133" w:lineRule="exact"/>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208"/>
              <w:spacing w:after="0" w:line="133"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14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Pr>
          <w:p>
            <w:pPr>
              <w:spacing w:after="0"/>
              <w:rPr>
                <w:sz w:val="12"/>
                <w:szCs w:val="12"/>
                <w:color w:val="auto"/>
              </w:rPr>
            </w:pPr>
          </w:p>
        </w:tc>
        <w:tc>
          <w:tcPr>
            <w:tcW w:w="1060" w:type="dxa"/>
            <w:vAlign w:val="bottom"/>
          </w:tcPr>
          <w:p>
            <w:pPr>
              <w:jc w:val="center"/>
              <w:ind w:left="319"/>
              <w:spacing w:after="0" w:line="145"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208"/>
              <w:spacing w:after="0" w:line="145"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w w:val="95"/>
              </w:rPr>
              <w:t>Intrinsic Value (in</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Term (years)</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thousands)*</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6,733,074</w:t>
            </w:r>
          </w:p>
        </w:tc>
        <w:tc>
          <w:tcPr>
            <w:tcW w:w="118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9.01</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37"/>
        </w:trPr>
        <w:tc>
          <w:tcPr>
            <w:tcW w:w="50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Options granted</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3,022,706</w:t>
            </w:r>
          </w:p>
        </w:tc>
        <w:tc>
          <w:tcPr>
            <w:tcW w:w="120" w:type="dxa"/>
            <w:vAlign w:val="bottom"/>
            <w:tcBorders>
              <w:top w:val="single" w:sz="8" w:color="CCEEFF"/>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5.79</w:t>
            </w:r>
          </w:p>
        </w:tc>
        <w:tc>
          <w:tcPr>
            <w:tcW w:w="120" w:type="dxa"/>
            <w:vAlign w:val="bottom"/>
            <w:tcBorders>
              <w:top w:val="single" w:sz="8" w:color="CCEEFF"/>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(126,518)</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2.77</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Options cancelled or 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(375,414)</w:t>
            </w: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6.59</w:t>
            </w:r>
          </w:p>
        </w:tc>
        <w:tc>
          <w:tcPr>
            <w:tcW w:w="1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9,253,848</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Exercisable at June 30, 2023</w:t>
            </w:r>
          </w:p>
        </w:tc>
        <w:tc>
          <w:tcPr>
            <w:tcW w:w="14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vMerge w:val="continue"/>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3,438,788</w:t>
            </w:r>
          </w:p>
        </w:tc>
        <w:tc>
          <w:tcPr>
            <w:tcW w:w="1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7.65</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at June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9,253,848</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intrinsic value is calculated as the difference between the stock option exercise price and the estimated fair value of the underlying common stock at the end of each reporting period referenced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Date Fair Value</w:t>
      </w:r>
    </w:p>
    <w:p>
      <w:pPr>
        <w:spacing w:after="0" w:line="185"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During the three months ended June 30, 2023, and 2022, we granted 486,366 and 495,120 stock options to employees with a weighted average grant date fair value of $2.95 and $4.82, respectively. During the six months ended June 30, 2023, and 2022, we granted 3,022,706 and 834,150 stock options to employees with a weighted average grant date fair value of $3.94 and $5.58, respectively.</w:t>
      </w:r>
    </w:p>
    <w:p>
      <w:pPr>
        <w:spacing w:after="0" w:line="1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estimated the fair value of each employee and non-employee stock option award on the grant date using the Black-Scholes option-pricing model based on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 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70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2023</w:t>
            </w:r>
          </w:p>
        </w:tc>
        <w:tc>
          <w:tcPr>
            <w:tcW w:w="1900" w:type="dxa"/>
            <w:vAlign w:val="bottom"/>
            <w:gridSpan w:val="3"/>
          </w:tcPr>
          <w:p>
            <w:pPr>
              <w:jc w:val="right"/>
              <w:ind w:right="670"/>
              <w:spacing w:after="0"/>
              <w:rPr>
                <w:sz w:val="20"/>
                <w:szCs w:val="20"/>
                <w:color w:val="auto"/>
              </w:rPr>
            </w:pPr>
            <w:r>
              <w:rPr>
                <w:rFonts w:ascii="Arial" w:cs="Arial" w:eastAsia="Arial" w:hAnsi="Arial"/>
                <w:sz w:val="14"/>
                <w:szCs w:val="14"/>
                <w:b w:val="1"/>
                <w:bCs w:val="1"/>
                <w:color w:val="auto"/>
              </w:rPr>
              <w:t>2022</w:t>
            </w:r>
          </w:p>
        </w:tc>
        <w:tc>
          <w:tcPr>
            <w:tcW w:w="1920" w:type="dxa"/>
            <w:vAlign w:val="bottom"/>
            <w:gridSpan w:val="2"/>
          </w:tcPr>
          <w:p>
            <w:pPr>
              <w:jc w:val="right"/>
              <w:ind w:right="695"/>
              <w:spacing w:after="0"/>
              <w:rPr>
                <w:sz w:val="20"/>
                <w:szCs w:val="20"/>
                <w:color w:val="auto"/>
              </w:rPr>
            </w:pPr>
            <w:r>
              <w:rPr>
                <w:rFonts w:ascii="Arial" w:cs="Arial" w:eastAsia="Arial" w:hAnsi="Arial"/>
                <w:sz w:val="14"/>
                <w:szCs w:val="14"/>
                <w:b w:val="1"/>
                <w:bCs w:val="1"/>
                <w:color w:val="auto"/>
              </w:rPr>
              <w:t>2023</w:t>
            </w:r>
          </w:p>
        </w:tc>
        <w:tc>
          <w:tcPr>
            <w:tcW w:w="190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rPr>
              <w:t>2022</w:t>
            </w: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 to</w:t>
            </w: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 to</w:t>
            </w: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74.7% to 75.0%</w:t>
            </w:r>
          </w:p>
        </w:tc>
        <w:tc>
          <w:tcPr>
            <w:tcW w:w="100" w:type="dxa"/>
            <w:vAlign w:val="bottom"/>
            <w:shd w:val="clear" w:color="auto" w:fill="CCEEFF"/>
          </w:tcPr>
          <w:p>
            <w:pPr>
              <w:spacing w:after="0"/>
              <w:rPr>
                <w:sz w:val="21"/>
                <w:szCs w:val="21"/>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71.7% to 74.1%</w:t>
            </w: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020" w:type="dxa"/>
            <w:vAlign w:val="bottom"/>
          </w:tcPr>
          <w:p>
            <w:pPr>
              <w:jc w:val="center"/>
              <w:ind w:left="716"/>
              <w:spacing w:after="0"/>
              <w:rPr>
                <w:sz w:val="20"/>
                <w:szCs w:val="20"/>
                <w:color w:val="auto"/>
              </w:rPr>
            </w:pPr>
            <w:r>
              <w:rPr>
                <w:rFonts w:ascii="Arial" w:cs="Arial" w:eastAsia="Arial" w:hAnsi="Arial"/>
                <w:sz w:val="18"/>
                <w:szCs w:val="18"/>
                <w:color w:val="auto"/>
                <w:w w:val="87"/>
              </w:rPr>
              <w:t>6.0</w:t>
            </w:r>
          </w:p>
        </w:tc>
        <w:tc>
          <w:tcPr>
            <w:tcW w:w="8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5.0 to 6.0</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5.5 to 6.0</w:t>
            </w:r>
          </w:p>
        </w:tc>
      </w:tr>
      <w:tr>
        <w:trPr>
          <w:trHeight w:val="24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to</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to</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 to 4.1%</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 to 3.4%</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2"/>
              </w:rPr>
              <w:t>0.0%</w:t>
            </w:r>
          </w:p>
        </w:tc>
        <w:tc>
          <w:tcPr>
            <w:tcW w:w="1900" w:type="dxa"/>
            <w:vAlign w:val="bottom"/>
            <w:gridSpan w:val="3"/>
          </w:tcPr>
          <w:p>
            <w:pPr>
              <w:jc w:val="right"/>
              <w:ind w:right="630"/>
              <w:spacing w:after="0"/>
              <w:rPr>
                <w:sz w:val="20"/>
                <w:szCs w:val="20"/>
                <w:color w:val="auto"/>
              </w:rPr>
            </w:pPr>
            <w:r>
              <w:rPr>
                <w:rFonts w:ascii="Arial" w:cs="Arial" w:eastAsia="Arial" w:hAnsi="Arial"/>
                <w:sz w:val="18"/>
                <w:szCs w:val="18"/>
                <w:color w:val="auto"/>
              </w:rPr>
              <w:t>0.0%</w:t>
            </w:r>
          </w:p>
        </w:tc>
        <w:tc>
          <w:tcPr>
            <w:tcW w:w="1920" w:type="dxa"/>
            <w:vAlign w:val="bottom"/>
            <w:gridSpan w:val="2"/>
          </w:tcPr>
          <w:p>
            <w:pPr>
              <w:jc w:val="right"/>
              <w:ind w:right="635"/>
              <w:spacing w:after="0"/>
              <w:rPr>
                <w:sz w:val="20"/>
                <w:szCs w:val="20"/>
                <w:color w:val="auto"/>
              </w:rPr>
            </w:pPr>
            <w:r>
              <w:rPr>
                <w:rFonts w:ascii="Arial" w:cs="Arial" w:eastAsia="Arial" w:hAnsi="Arial"/>
                <w:sz w:val="18"/>
                <w:szCs w:val="18"/>
                <w:color w:val="auto"/>
              </w:rPr>
              <w:t>0.0%</w:t>
            </w:r>
          </w:p>
        </w:tc>
        <w:tc>
          <w:tcPr>
            <w:tcW w:w="1900" w:type="dxa"/>
            <w:vAlign w:val="bottom"/>
            <w:gridSpan w:val="2"/>
          </w:tcPr>
          <w:p>
            <w:pPr>
              <w:jc w:val="right"/>
              <w:ind w:right="630"/>
              <w:spacing w:after="0"/>
              <w:rPr>
                <w:sz w:val="20"/>
                <w:szCs w:val="20"/>
                <w:color w:val="auto"/>
              </w:rPr>
            </w:pPr>
            <w:r>
              <w:rPr>
                <w:rFonts w:ascii="Arial" w:cs="Arial" w:eastAsia="Arial" w:hAnsi="Arial"/>
                <w:sz w:val="18"/>
                <w:szCs w:val="18"/>
                <w:color w:val="auto"/>
              </w:rPr>
              <w:t>0.0%</w:t>
            </w:r>
          </w:p>
        </w:tc>
      </w:tr>
    </w:tbl>
    <w:p>
      <w:pPr>
        <w:spacing w:after="0" w:line="268" w:lineRule="exact"/>
        <w:rPr>
          <w:sz w:val="20"/>
          <w:szCs w:val="20"/>
          <w:color w:val="auto"/>
        </w:rPr>
      </w:pPr>
    </w:p>
    <w:p>
      <w:pPr>
        <w:jc w:val="both"/>
        <w:ind w:right="320" w:firstLine="648"/>
        <w:spacing w:after="0" w:line="277" w:lineRule="auto"/>
        <w:rPr>
          <w:sz w:val="20"/>
          <w:szCs w:val="20"/>
          <w:color w:val="auto"/>
        </w:rPr>
      </w:pPr>
      <w:r>
        <w:rPr>
          <w:rFonts w:ascii="Arial" w:cs="Arial" w:eastAsia="Arial" w:hAnsi="Arial"/>
          <w:sz w:val="18"/>
          <w:szCs w:val="18"/>
          <w:color w:val="auto"/>
        </w:rPr>
        <w:t>As of June 30, 2023, there was $31.7 million of unrecognized stock-based compensation expense related to employee and non-employee stock options that is expected to be recognized over a weighted-average period of 2.8 years.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six months ended June 30, 2023, we did not grant any restricted stock units (“RSUs”) or performance-based RSUs (“PSUs”) under the 2021 Plan. A summary of the status of and change in unvested RSUs and PSUs as of June 30, 2023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1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RSUs and</w:t>
            </w: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PSUs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per RSU and PSU</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January 1, 2023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256,146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4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Unvested, June 30,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233,035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PSUs were granted to our executive officers and will vest contingent upon the achievement of a clinical milestone for CB-010 during a performance period ending December 31, 2024 and an executive officer’s continued employment during the performance period. As of June 30, 2023, the achievement of this milestone was not considered probable and, therefore, no stock-based compensation was recorded.</w:t>
      </w:r>
    </w:p>
    <w:p>
      <w:pPr>
        <w:spacing w:after="0" w:line="1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June 30, 2023, the total unrecognized stock-based compensation expense related to unvested RSUs was $1.1 million, which is expected to be recognized over the remaining weighted-average vesting period of 1.5 years. As of June 30, 2023, there was approximately $0.6 million of unrecognized stock-based compensation expense related to unvested PSUs.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9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July 2021, our board of directors adopted and our stockholders approved the ESPP, which became effective on July 22, 2021. We have issued 139,384 shares of common stock under the ESPP as of June 30, 2023. We recorded $0.3 million in accrued liabilities related to contributions withheld as of June 30,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recorded stock-based compensation expense related to employee and non-employee equity-based awards grants in our condensed consolidated statements of operations and comprehensive loss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0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4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1,551</w:t>
            </w:r>
          </w:p>
        </w:tc>
        <w:tc>
          <w:tcPr>
            <w:tcW w:w="10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2,034</w:t>
            </w: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1,951</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3,585</w:t>
            </w:r>
          </w:p>
        </w:tc>
        <w:tc>
          <w:tcPr>
            <w:tcW w:w="10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2,918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stock-based compensation expense related to the following equity-based awards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4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3,202</w:t>
            </w:r>
          </w:p>
        </w:tc>
        <w:tc>
          <w:tcPr>
            <w:tcW w:w="8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2,781</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ESPP</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4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3,585</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2,918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w:t>
            </w:r>
          </w:p>
        </w:tc>
      </w:tr>
      <w:tr>
        <w:trPr>
          <w:trHeight w:val="27"/>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Stock-based compensation expense related to employees was $3.6 million and $2.9 million for the three months ended June 30, 2023, and 2022, respectively. Stock-based compensation expense related to employees was $6.7 million and $5.9 million for the six months ended June 30, 2023, and 2022, respectively. There was no stock-based compensation expense related to non-employees for the three months ended June 30, 2023, and was less than $0.1 million for the three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months ended June 30, 2022. There was no stock-based compensation expense related to non-employees for the six months ended June 30, 2023, and $0.1 million for the six months ended June 30,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401(k) Savings Plan</w:t>
      </w:r>
    </w:p>
    <w:p>
      <w:pPr>
        <w:spacing w:after="0" w:line="189"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In 2017, we established a defined-contribution savings plan under Section 401(k) of the Internal Revenue Code of 1986, as amended (the “Tax Code”). Our 401(k) plan is available to all employees and allows participants to defer a portion of their annual compensation on a pretax basis subject to applicable laws. We also provide a 4% match for employee contributions up to a certain limit. During the six months ended June 30, 2023, and 2022, we contributed $0.5 million and $0.4 million, respectively, to our 401(k)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income tax expense was recorded during each of the three- and six-month periods ended June 30, 2023, and 2022 due to our operating losses.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36" w:lineRule="exact"/>
        <w:rPr>
          <w:sz w:val="20"/>
          <w:szCs w:val="20"/>
          <w:color w:val="auto"/>
        </w:rPr>
      </w:pPr>
    </w:p>
    <w:p>
      <w:pPr>
        <w:ind w:left="180"/>
        <w:spacing w:after="0"/>
        <w:tabs>
          <w:tab w:leader="none" w:pos="5060" w:val="left"/>
        </w:tabs>
        <w:rPr>
          <w:sz w:val="20"/>
          <w:szCs w:val="20"/>
          <w:color w:val="auto"/>
        </w:rPr>
      </w:pPr>
      <w:r>
        <w:rPr>
          <w:rFonts w:ascii="Arial" w:cs="Arial" w:eastAsia="Arial" w:hAnsi="Arial"/>
          <w:sz w:val="18"/>
          <w:szCs w:val="18"/>
          <w:color w:val="auto"/>
        </w:rPr>
        <w:t>Net loss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w:t>
      </w:r>
    </w:p>
    <w:p>
      <w:pPr>
        <w:spacing w:after="0" w:line="36" w:lineRule="exact"/>
        <w:rPr>
          <w:sz w:val="20"/>
          <w:szCs w:val="20"/>
          <w:color w:val="auto"/>
        </w:rPr>
      </w:pPr>
    </w:p>
    <w:p>
      <w:pPr>
        <w:ind w:left="180" w:right="140"/>
        <w:spacing w:after="0" w:line="246" w:lineRule="auto"/>
        <w:rPr>
          <w:sz w:val="20"/>
          <w:szCs w:val="20"/>
          <w:color w:val="auto"/>
        </w:rPr>
      </w:pPr>
      <w:r>
        <w:rPr>
          <w:rFonts w:ascii="Arial" w:cs="Arial" w:eastAsia="Arial" w:hAnsi="Arial"/>
          <w:sz w:val="18"/>
          <w:szCs w:val="18"/>
          <w:color w:val="auto"/>
        </w:rPr>
        <w:t>Weighted-average common shares outstanding used to compute net loss per share, basic and diluted</w:t>
      </w:r>
    </w:p>
    <w:p>
      <w:pPr>
        <w:spacing w:after="0" w:line="8" w:lineRule="exact"/>
        <w:rPr>
          <w:sz w:val="20"/>
          <w:szCs w:val="20"/>
          <w:color w:val="auto"/>
        </w:rPr>
      </w:pPr>
    </w:p>
    <w:p>
      <w:pPr>
        <w:ind w:left="20"/>
        <w:spacing w:after="0"/>
        <w:tabs>
          <w:tab w:leader="none" w:pos="5060" w:val="left"/>
        </w:tabs>
        <w:rPr>
          <w:sz w:val="20"/>
          <w:szCs w:val="20"/>
          <w:color w:val="auto"/>
        </w:rPr>
      </w:pPr>
      <w:r>
        <w:rPr>
          <w:rFonts w:ascii="Arial" w:cs="Arial" w:eastAsia="Arial" w:hAnsi="Arial"/>
          <w:sz w:val="18"/>
          <w:szCs w:val="18"/>
          <w:color w:val="auto"/>
        </w:rPr>
        <w:t>Net loss per share, basic and diluted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76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2"/>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w w:val="89"/>
              </w:rPr>
              <w:t>June 30,</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79"/>
        </w:trPr>
        <w:tc>
          <w:tcPr>
            <w:tcW w:w="980" w:type="dxa"/>
            <w:vAlign w:val="bottom"/>
          </w:tcPr>
          <w:p>
            <w:pPr>
              <w:jc w:val="right"/>
              <w:ind w:right="39"/>
              <w:spacing w:after="0"/>
              <w:rPr>
                <w:sz w:val="20"/>
                <w:szCs w:val="20"/>
                <w:color w:val="auto"/>
              </w:rPr>
            </w:pPr>
            <w:r>
              <w:rPr>
                <w:rFonts w:ascii="Arial" w:cs="Arial" w:eastAsia="Arial" w:hAnsi="Arial"/>
                <w:sz w:val="18"/>
                <w:szCs w:val="18"/>
                <w:color w:val="auto"/>
              </w:rPr>
              <w:t>(29,519)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(26,697)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(57,563)</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(45,785)</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8"/>
        </w:trPr>
        <w:tc>
          <w:tcPr>
            <w:tcW w:w="980" w:type="dxa"/>
            <w:vAlign w:val="bottom"/>
          </w:tcPr>
          <w:p>
            <w:pPr>
              <w:spacing w:after="0"/>
              <w:rPr>
                <w:sz w:val="20"/>
                <w:szCs w:val="20"/>
                <w:color w:val="auto"/>
              </w:rPr>
            </w:pPr>
            <w:r>
              <w:rPr>
                <w:rFonts w:ascii="Arial" w:cs="Arial" w:eastAsia="Arial" w:hAnsi="Arial"/>
                <w:sz w:val="18"/>
                <w:szCs w:val="18"/>
                <w:color w:val="auto"/>
              </w:rPr>
              <w:t>61,417,934</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60,757,689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5"/>
              </w:rPr>
              <w:t>61,302,863</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60,652,532</w:t>
            </w:r>
          </w:p>
        </w:tc>
        <w:tc>
          <w:tcPr>
            <w:tcW w:w="0" w:type="dxa"/>
            <w:vAlign w:val="bottom"/>
          </w:tcPr>
          <w:p>
            <w:pPr>
              <w:spacing w:after="0"/>
              <w:rPr>
                <w:sz w:val="1"/>
                <w:szCs w:val="1"/>
                <w:color w:val="auto"/>
              </w:rPr>
            </w:pPr>
          </w:p>
        </w:tc>
      </w:tr>
      <w:tr>
        <w:trPr>
          <w:trHeight w:val="27"/>
        </w:trPr>
        <w:tc>
          <w:tcPr>
            <w:tcW w:w="980" w:type="dxa"/>
            <w:vAlign w:val="bottom"/>
            <w:vMerge w:val="restart"/>
          </w:tcPr>
          <w:p>
            <w:pPr>
              <w:jc w:val="right"/>
              <w:ind w:right="39"/>
              <w:spacing w:after="0"/>
              <w:rPr>
                <w:sz w:val="20"/>
                <w:szCs w:val="20"/>
                <w:color w:val="auto"/>
              </w:rPr>
            </w:pPr>
            <w:r>
              <w:rPr>
                <w:rFonts w:ascii="Arial" w:cs="Arial" w:eastAsia="Arial" w:hAnsi="Arial"/>
                <w:sz w:val="18"/>
                <w:szCs w:val="18"/>
                <w:color w:val="auto"/>
              </w:rPr>
              <w:t>(0.48)</w:t>
            </w: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-1105535</wp:posOffset>
            </wp:positionV>
            <wp:extent cx="713232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-650875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-222250</wp:posOffset>
            </wp:positionV>
            <wp:extent cx="713232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480"/>
            <w:col w:w="5580"/>
          </w:cols>
          <w:pgMar w:left="320" w:top="125" w:right="339" w:bottom="1440" w:gutter="0" w:footer="0" w:header="0"/>
          <w:type w:val="continuous"/>
        </w:sectPr>
      </w:pPr>
    </w:p>
    <w:p>
      <w:pPr>
        <w:spacing w:after="0" w:line="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Because we were in a net loss position for all periods presented, basic net loss per share is the same as diluted net loss per share for all periods, as the inclusion of all common stock equivalents outstanding would have been anti-dilutive. Potentially dilutive securities that were not included in the diluted per share calculations because they would be anti-dilutive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r>
      <w:tr>
        <w:trPr>
          <w:trHeight w:val="144"/>
        </w:trPr>
        <w:tc>
          <w:tcPr>
            <w:tcW w:w="8140" w:type="dxa"/>
            <w:vAlign w:val="bottom"/>
          </w:tcPr>
          <w:p>
            <w:pPr>
              <w:spacing w:after="0"/>
              <w:rPr>
                <w:sz w:val="12"/>
                <w:szCs w:val="12"/>
                <w:color w:val="auto"/>
              </w:rPr>
            </w:pPr>
          </w:p>
        </w:tc>
        <w:tc>
          <w:tcPr>
            <w:tcW w:w="1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1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June 30,</w:t>
            </w:r>
          </w:p>
        </w:tc>
      </w:tr>
      <w:tr>
        <w:trPr>
          <w:trHeight w:val="196"/>
        </w:trPr>
        <w:tc>
          <w:tcPr>
            <w:tcW w:w="81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60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6"/>
              </w:rPr>
              <w:t>2022</w:t>
            </w:r>
          </w:p>
        </w:tc>
      </w:tr>
      <w:tr>
        <w:trPr>
          <w:trHeight w:val="243"/>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9,253,848</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6,610,958</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color w:val="auto"/>
              </w:rPr>
              <w:t>RSUs and PSUs issued and outstanding</w:t>
            </w:r>
          </w:p>
        </w:tc>
        <w:tc>
          <w:tcPr>
            <w:tcW w:w="1500" w:type="dxa"/>
            <w:vAlign w:val="bottom"/>
          </w:tcPr>
          <w:p>
            <w:pPr>
              <w:jc w:val="right"/>
              <w:spacing w:after="0"/>
              <w:rPr>
                <w:sz w:val="20"/>
                <w:szCs w:val="20"/>
                <w:color w:val="auto"/>
              </w:rPr>
            </w:pPr>
            <w:r>
              <w:rPr>
                <w:rFonts w:ascii="Arial" w:cs="Arial" w:eastAsia="Arial" w:hAnsi="Arial"/>
                <w:sz w:val="18"/>
                <w:szCs w:val="18"/>
                <w:color w:val="auto"/>
              </w:rPr>
              <w:t>233,035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60,000</w:t>
            </w:r>
          </w:p>
        </w:tc>
      </w:tr>
      <w:tr>
        <w:trPr>
          <w:trHeight w:val="24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committed under ESPP</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33,339</w:t>
            </w:r>
          </w:p>
        </w:tc>
      </w:tr>
      <w:tr>
        <w:trPr>
          <w:trHeight w:val="230"/>
        </w:trPr>
        <w:tc>
          <w:tcPr>
            <w:tcW w:w="814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9,636,233</w:t>
            </w:r>
          </w:p>
        </w:tc>
        <w:tc>
          <w:tcPr>
            <w:tcW w:w="10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6,704,297</w:t>
            </w:r>
          </w:p>
        </w:tc>
      </w:tr>
      <w:tr>
        <w:trPr>
          <w:trHeight w:val="27"/>
        </w:trPr>
        <w:tc>
          <w:tcPr>
            <w:tcW w:w="8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Pfizer Investment</w:t>
      </w:r>
    </w:p>
    <w:p>
      <w:pPr>
        <w:spacing w:after="0" w:line="18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On June 29, 2023, we entered into a Securities Purchase Agreement (the “Securities Purchase Agreement”) with Pfizer, pursuant to which we, in a private placement transaction (the “Pfizer Investment”), agreed to issue and sell to Pfizer 4,690,431 shares of our common stock, par value $0.0001 per share, at a purchase price of $5.33 per share, for aggregate gross proceeds of approximately $25.0 million. The issuance and sale of the shares to Pfizer closed on June 30, 2023. We granted certain registration rights to Pfizer under the Securities Purchase Agreement with regard to the resale of the shares. Unless otherwise agreed by Pfizer, we have agreed to use the proceeds from the Pfizer Investment solely in connection with (i) the development program for our allogeneic anti-BCMA CAR-T cell therapy known as CB-011 that is being evaluated in the CaMMouflage clinical trial and/or (ii) any other single-targeted anti-BCMA CAR-T cell therapy using an anti-BCMA single-chain variable fragment owned or controlled by us (collectively, cell therapies described in clauses (i) and (ii) are referred to as a “BCMA Product Candidate”), for 36 months beginning on June 29, 2023.</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June 29, 2023, in connection with the Pfizer Investment, we and Pfizer also entered into an Information Rights Agreement (the “Information Rights Agreement”), having a thirty-six (36)-month term. Under the Information Rights Agreement, we granted Pfizer a thirty (30)-calendar day right of first negotiation (“ROFN”) if we commence or engage with any third party with respect to a potential grant of rights to develop and/or commercialize a BCMA Product Candidate, including, without limitation, a license agreement, a co-promotion/co-commercialization agreement, a profit share agreement, a joint venture agreement, or an asset sale agreement (a “Grant of Program Rights”). If we and Pfizer do not reach an agreement with respect to a Grant of Program Rights within the 30-day period, then we may pursue negotiations and enter into an agreement with any third party. In the event that we and such third party do not reach agreement on the Grant of Program Rights within a specified time period, Pfizer’s right of first negotiation would be reinstated. Under the Information Rights Agreement, we also agreed to grant Pfizer the right to designate one representative to serve on our scientific advisory board. Through an information sharing committee, we will provide calendar quarter updates to Pfizer regarding the development program for a BCMA Product Candidate. Additionally, we agreed to provide Pfizer access to any preclinical or interim or final clinical data (including raw data) and results generated as part of the development program for a BCMA Product Candidate at the same time that we provide such data to a third party (other than to our service providers or the FDA or other regulatory authorities), subject to certain confidentiality exceptions.</w:t>
      </w:r>
    </w:p>
    <w:p>
      <w:pPr>
        <w:spacing w:after="0" w:line="14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June 29, 2023, we and Pfizer also entered into a Voting Agreement, pursuant to which, for a period of 12 months, Pfizer agreed to cause our voting securities that Pfizer beneficially owns (within the meaning of Rules 13d-3 or 13d-5 under the Exchange Act) in excess of 4.99% of our then issued and outstanding voting securities to be voted (i) with respect to any matter directly relating to remuneration of directors, directors’ insurance, or indemnification or release from liability of directors, in a manner proportionally consistent with the votes properly cast for and against by holders of voting securities not beneficially owned by Pfizer, and (ii) with respect to any other matter in which Pfizer shall have the right to vote such voting securities, in accordance with the recommendation of our board of directors or any applicable committee thereof.</w:t>
      </w:r>
    </w:p>
    <w:p>
      <w:pPr>
        <w:spacing w:after="0" w:line="13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recorded the issuance of our common stock at its estimated fair value of $17.5 million, which reflects a discount for the lack of marketability of the shares. The remaining $7.5 million of the aggregate purchase price was allocated to the Information Rights Agreement, which represented a contract with a customer. We concluded that the information sharing committee represents the only performance obligation under the Information Rights Agreement. The ROFN does not provide Pfizer with a material right and is therefore not a performance obligation.</w:t>
      </w:r>
    </w:p>
    <w:p>
      <w:pPr>
        <w:spacing w:after="0" w:line="13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recognize revenue over time as the measure of progress which we believe best depicts the obligations to Pfizer. The information sharing committee will meet quarterly over the 36-month term of the Information Rights Agreement, which results in recognition of the transaction price over the 36-month term.</w:t>
      </w:r>
    </w:p>
    <w:p>
      <w:pPr>
        <w:spacing w:after="0" w:line="15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No revenue from Pfizer was recognized during each of the three- or six-month periods ended June 30, 2023, or 2022. As of June 30, 2023, there was approximately $7.5 million of related party deferred revenue ($2.5 million included in current liabilities and $5.0 million included in long-term liabilities) related to our performance obligations to Pfizer.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July and August 2023, we issued and sold a total of 22,115,384 shares of our common stock in an underwritten public offering at a price to the public of $6.50 per share, which included the full exercise of the underwriters’ over-allotment option. The total net proceeds from the offering were approximately $134.6 million, after deducting underwriting discounts and commissions and estimated offering expenses. The shares were issued pursuant to the Shelf Registration Statement.</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included in Part I, Item 1, of this Quarterly Report on Form 10-Q (“Form 10-Q”) and with the audited consolidated financial statements and the related notes for the fiscal year ended December 31, 2022 included in our Annual Report on Form 10-K (“Form 10-K”) filed with the U.S. Securities and Exchange Commission (“SEC”) on March 9,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i w:val="1"/>
          <w:iCs w:val="1"/>
          <w:color w:val="auto"/>
        </w:rPr>
        <w:t>This Form 10-Q contains forward-looking statements. All statements other than statements of historical facts contained in this Form 10-Q are forward-looking statements, including statements regarding our business strategy, plans, and objectives; expectations regarding our clinical and preclinical development programs, including our timing expectations with respect to such programs and the expected timing of disclosure of clinical data from such programs and safety, efficacy, and potential advantages of our product candidates; future regulatory filings and interactions with regulatory authorities; our results of operations and financial position; plans and objectives of management for future operations; and the like.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158"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i w:val="1"/>
          <w:iCs w:val="1"/>
          <w:color w:val="auto"/>
        </w:rPr>
        <w:t>As a result of many factors, including but not limited to risks related to our limited operating history, history of net operating losses, financial position and our ability to raise additional capital as needed to fund our operations and product candidate development; risks inherent in the development of cell therapy products; risks associated with the initiation, cost, timing, progress, and results of current and future research and development programs, preclinical studies, and clinical trials; the risk that initial, preliminary, or interim clinical trial data will not ultimately be predictive of the safety and efficacy of our product candidates or that clinical outcomes may differ as patient enrollment continues and as more clinical data becomes available or different conclusions or considerations are reached once additional data have been received and fully evaluated; the risk that preclinical study results will not be borne out in human patients; risks related to our ability to obtain and maintain regulatory approval for our product candidates; risks that our product candidates, if approved, may not gain market acceptance due to negative public opinion and increased regulatory scrutiny of cell therapies involving genome editing; risks related to our ability to meet future regulatory standards with respect to our products; risks related to our ability to establish and/or maintain intellectual property rights covering our product candidates and genome-editing technology; risks of third parties asserting that our product candidates infringe their patents; risks related to developments of our competitors and our industry; risks related to our reliance on third parties to conduct our clinical trials and manufacture our product candidates; risks caused by public health crises such as the COVID-19 pandemic or geopolitical events on our business and operations; and other risks described in greater detail in the section of our Form 10-K titled “Risk Factors,” and in other filings we make with the SEC, the events and circumstances reflected in our forward-looking statements may not be achieved or may not occur, and actual results could differ materially from those described in or implied by the forward-looking statements. As a result of these risks, you should not place undue reliance on these forward-looking statements. We assume no obligation to revise or update any forward-looking statements for any reason, except as required by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40" w:firstLine="648"/>
        <w:spacing w:after="0" w:line="290" w:lineRule="auto"/>
        <w:rPr>
          <w:sz w:val="20"/>
          <w:szCs w:val="20"/>
          <w:color w:val="auto"/>
        </w:rPr>
      </w:pPr>
      <w:r>
        <w:rPr>
          <w:rFonts w:ascii="Arial" w:cs="Arial" w:eastAsia="Arial" w:hAnsi="Arial"/>
          <w:sz w:val="16"/>
          <w:szCs w:val="16"/>
          <w:color w:val="auto"/>
        </w:rPr>
        <w:t xml:space="preserve">We are a clinical-stage </w:t>
      </w:r>
      <w:r>
        <w:rPr>
          <w:rFonts w:ascii="Arial" w:cs="Arial" w:eastAsia="Arial" w:hAnsi="Arial"/>
          <w:sz w:val="19"/>
          <w:szCs w:val="19"/>
          <w:b w:val="1"/>
          <w:bCs w:val="1"/>
          <w:color w:val="auto"/>
        </w:rPr>
        <w:t>C</w:t>
      </w:r>
      <w:r>
        <w:rPr>
          <w:rFonts w:ascii="Arial" w:cs="Arial" w:eastAsia="Arial" w:hAnsi="Arial"/>
          <w:sz w:val="16"/>
          <w:szCs w:val="16"/>
          <w:color w:val="auto"/>
        </w:rPr>
        <w:t xml:space="preserve">lustered </w:t>
      </w:r>
      <w:r>
        <w:rPr>
          <w:rFonts w:ascii="Arial" w:cs="Arial" w:eastAsia="Arial" w:hAnsi="Arial"/>
          <w:sz w:val="19"/>
          <w:szCs w:val="19"/>
          <w:b w:val="1"/>
          <w:bCs w:val="1"/>
          <w:color w:val="auto"/>
        </w:rPr>
        <w:t>R</w:t>
      </w:r>
      <w:r>
        <w:rPr>
          <w:rFonts w:ascii="Arial" w:cs="Arial" w:eastAsia="Arial" w:hAnsi="Arial"/>
          <w:sz w:val="16"/>
          <w:szCs w:val="16"/>
          <w:color w:val="auto"/>
        </w:rPr>
        <w:t xml:space="preserve">egularly </w:t>
      </w:r>
      <w:r>
        <w:rPr>
          <w:rFonts w:ascii="Arial" w:cs="Arial" w:eastAsia="Arial" w:hAnsi="Arial"/>
          <w:sz w:val="19"/>
          <w:szCs w:val="19"/>
          <w:b w:val="1"/>
          <w:bCs w:val="1"/>
          <w:color w:val="auto"/>
        </w:rPr>
        <w:t>I</w:t>
      </w:r>
      <w:r>
        <w:rPr>
          <w:rFonts w:ascii="Arial" w:cs="Arial" w:eastAsia="Arial" w:hAnsi="Arial"/>
          <w:sz w:val="16"/>
          <w:szCs w:val="16"/>
          <w:color w:val="auto"/>
        </w:rPr>
        <w:t xml:space="preserve">nterspaced </w:t>
      </w:r>
      <w:r>
        <w:rPr>
          <w:rFonts w:ascii="Arial" w:cs="Arial" w:eastAsia="Arial" w:hAnsi="Arial"/>
          <w:sz w:val="19"/>
          <w:szCs w:val="19"/>
          <w:b w:val="1"/>
          <w:bCs w:val="1"/>
          <w:color w:val="auto"/>
        </w:rPr>
        <w:t>S</w:t>
      </w:r>
      <w:r>
        <w:rPr>
          <w:rFonts w:ascii="Arial" w:cs="Arial" w:eastAsia="Arial" w:hAnsi="Arial"/>
          <w:sz w:val="16"/>
          <w:szCs w:val="16"/>
          <w:color w:val="auto"/>
        </w:rPr>
        <w:t xml:space="preserve">hort </w:t>
      </w:r>
      <w:r>
        <w:rPr>
          <w:rFonts w:ascii="Arial" w:cs="Arial" w:eastAsia="Arial" w:hAnsi="Arial"/>
          <w:sz w:val="19"/>
          <w:szCs w:val="19"/>
          <w:b w:val="1"/>
          <w:bCs w:val="1"/>
          <w:color w:val="auto"/>
        </w:rPr>
        <w:t>P</w:t>
      </w:r>
      <w:r>
        <w:rPr>
          <w:rFonts w:ascii="Arial" w:cs="Arial" w:eastAsia="Arial" w:hAnsi="Arial"/>
          <w:sz w:val="16"/>
          <w:szCs w:val="16"/>
          <w:color w:val="auto"/>
        </w:rPr>
        <w:t xml:space="preserve">alindromic </w:t>
      </w:r>
      <w:r>
        <w:rPr>
          <w:rFonts w:ascii="Arial" w:cs="Arial" w:eastAsia="Arial" w:hAnsi="Arial"/>
          <w:sz w:val="19"/>
          <w:szCs w:val="19"/>
          <w:b w:val="1"/>
          <w:bCs w:val="1"/>
          <w:color w:val="auto"/>
        </w:rPr>
        <w:t>R</w:t>
      </w:r>
      <w:r>
        <w:rPr>
          <w:rFonts w:ascii="Arial" w:cs="Arial" w:eastAsia="Arial" w:hAnsi="Arial"/>
          <w:sz w:val="16"/>
          <w:szCs w:val="16"/>
          <w:color w:val="auto"/>
        </w:rPr>
        <w:t>epeats (“CRISPR”) genome-editing biopharmaceutical company dedicated to developing transformative therapies for patients with devastating diseases. Our genome-editing platform, including our novel chRDNA</w:t>
      </w:r>
    </w:p>
    <w:p>
      <w:pPr>
        <w:ind w:right="22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20"/>
          <w:szCs w:val="20"/>
          <w:b w:val="1"/>
          <w:bCs w:val="1"/>
          <w:u w:val="single" w:color="auto"/>
          <w:color w:val="auto"/>
        </w:rPr>
        <w:t>C</w:t>
      </w:r>
      <w:r>
        <w:rPr>
          <w:rFonts w:ascii="Arial" w:cs="Arial" w:eastAsia="Arial" w:hAnsi="Arial"/>
          <w:sz w:val="17"/>
          <w:szCs w:val="17"/>
          <w:color w:val="auto"/>
        </w:rPr>
        <w:t xml:space="preserve">RISPR </w:t>
      </w:r>
      <w:r>
        <w:rPr>
          <w:rFonts w:ascii="Arial" w:cs="Arial" w:eastAsia="Arial" w:hAnsi="Arial"/>
          <w:sz w:val="20"/>
          <w:szCs w:val="20"/>
          <w:b w:val="1"/>
          <w:bCs w:val="1"/>
          <w:u w:val="single" w:color="auto"/>
          <w:color w:val="auto"/>
        </w:rPr>
        <w:t>h</w:t>
      </w:r>
      <w:r>
        <w:rPr>
          <w:rFonts w:ascii="Arial" w:cs="Arial" w:eastAsia="Arial" w:hAnsi="Arial"/>
          <w:sz w:val="17"/>
          <w:szCs w:val="17"/>
          <w:color w:val="auto"/>
        </w:rPr>
        <w:t xml:space="preserve">ybrid </w:t>
      </w:r>
      <w:r>
        <w:rPr>
          <w:rFonts w:ascii="Arial" w:cs="Arial" w:eastAsia="Arial" w:hAnsi="Arial"/>
          <w:sz w:val="20"/>
          <w:szCs w:val="20"/>
          <w:b w:val="1"/>
          <w:bCs w:val="1"/>
          <w:u w:val="single" w:color="auto"/>
          <w:color w:val="auto"/>
        </w:rPr>
        <w:t>R</w:t>
      </w:r>
      <w:r>
        <w:rPr>
          <w:rFonts w:ascii="Arial" w:cs="Arial" w:eastAsia="Arial" w:hAnsi="Arial"/>
          <w:sz w:val="17"/>
          <w:szCs w:val="17"/>
          <w:color w:val="auto"/>
        </w:rPr>
        <w:t>NA-</w:t>
      </w:r>
      <w:r>
        <w:rPr>
          <w:rFonts w:ascii="Arial" w:cs="Arial" w:eastAsia="Arial" w:hAnsi="Arial"/>
          <w:sz w:val="20"/>
          <w:szCs w:val="20"/>
          <w:b w:val="1"/>
          <w:bCs w:val="1"/>
          <w:u w:val="single" w:color="auto"/>
          <w:color w:val="auto"/>
        </w:rPr>
        <w:t>DNA</w:t>
      </w:r>
      <w:r>
        <w:rPr>
          <w:rFonts w:ascii="Arial" w:cs="Arial" w:eastAsia="Arial" w:hAnsi="Arial"/>
          <w:sz w:val="20"/>
          <w:szCs w:val="20"/>
          <w:u w:val="single" w:color="auto"/>
          <w:color w:val="auto"/>
        </w:rPr>
        <w:t>,</w:t>
      </w:r>
      <w:r>
        <w:rPr>
          <w:rFonts w:ascii="Arial" w:cs="Arial" w:eastAsia="Arial" w:hAnsi="Arial"/>
          <w:sz w:val="17"/>
          <w:szCs w:val="17"/>
          <w:color w:val="auto"/>
        </w:rPr>
        <w:t xml:space="preserve"> or “chRDNA,” pronounced “chardonnay”) technologies, enables superior editing precision to develop cell therapies that are armored to improve antitumor activity. We are advancing a pipeline of allogeneic, or off-the-shelf, cell therapies from our chimeric antigen receptor (“CAR”) T (“CAR-T”) cell and CAR-natural killer (“CAR-NK”) cell platforms as readily available therapeutic treatments for patients.</w:t>
      </w:r>
    </w:p>
    <w:p>
      <w:pPr>
        <w:spacing w:after="0" w:line="13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initially focused on advancing multiple allogeneic cell therapies for the treatment of hematologic malignancies and solid tumors. Our therapies are directed at established tumor cell surface targets for which autologous CAR-T cell therapeutics have already demonstrated clinical proof of concept, including CD19 and B cell maturation antigen (“BCMA”), as well as targets such as C-type lectin-like molecule-1 (“CLL-1,” also known as CD371). We use our chRDNA technologies to armor our cell therapies by using multiple genome-editing strategies, such as checkpoint disruption, immune cloaking, or a combination of these two strategies to enhance their antitumor activity.</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Our lead product candidate, CB-010, to our knowledge, is the first clinical-stage allogeneic anti-CD19 CAR-T cell therapy with programmed cell death protein 1 (“PD-1”) removed from the CAR-T cell surface by a genome-edited knockout of the </w:t>
      </w:r>
      <w:r>
        <w:rPr>
          <w:rFonts w:ascii="Arial" w:cs="Arial" w:eastAsia="Arial" w:hAnsi="Arial"/>
          <w:sz w:val="18"/>
          <w:szCs w:val="18"/>
          <w:i w:val="1"/>
          <w:iCs w:val="1"/>
          <w:color w:val="auto"/>
        </w:rPr>
        <w:t>PDCD1</w:t>
      </w:r>
      <w:r>
        <w:rPr>
          <w:rFonts w:ascii="Arial" w:cs="Arial" w:eastAsia="Arial" w:hAnsi="Arial"/>
          <w:sz w:val="18"/>
          <w:szCs w:val="18"/>
          <w:color w:val="auto"/>
        </w:rPr>
        <w:t xml:space="preserve"> gene. We have demonstrated in preclinical models that the PD-1 knockout improved the durability of antitumor activity by disrupting a pathway that leads to rapid T cell exhaustion. CB-010 is being evaluated in our ongoing ANTLER phase 1 clinical trial in patients with relapsed or refractory B cell non-Hodgkin lymphoma (“r/r B-NHL”). We completed the dose escalation portion of the ANTLER trial and advanced into the dose expansion portion, and we are enrolling second-line large B cell lymphoma (“LBCL”) patients to determine the recommended phase 2 dose. CB-010 has received Regenerative Medicine Advanced Therapy (“RMAT”) designation for r/r LBCL and fast track designation for r/r B-NHL from the U.S. Food and Drug Administration (“FDA”). On July 13, 2023, we announced results of the long-term follow-up from the dose escalation portion of the ongoing ANTLER Phase 1 trial evaluating our CB-010 product candidate. We plan to meet with the FDA in the second half of 2023 to discuss a potential pivotal clinical trial in second-line LBCL patients, and we plan to share FDA feedback by year-end 2023. We also plan to report initial dose expansion data in second-line LBCL patients from the ongoing ANTLER trial in the first half of 2024.</w:t>
      </w:r>
    </w:p>
    <w:p>
      <w:pPr>
        <w:spacing w:after="0" w:line="16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Our second product candidate, CB-011, is an allogeneic CAR-T cell therapy that targets BCMA. To our knowledge, it is the first anti-BCMA CAR-T cell therapy incorporating an immune cloaking approach that includes both the removal of the endogenous beta-2 microglobulin (“B2M”) protein by a genome-edited knockout of the </w:t>
      </w:r>
      <w:r>
        <w:rPr>
          <w:rFonts w:ascii="Arial" w:cs="Arial" w:eastAsia="Arial" w:hAnsi="Arial"/>
          <w:sz w:val="17"/>
          <w:szCs w:val="17"/>
          <w:i w:val="1"/>
          <w:iCs w:val="1"/>
          <w:color w:val="auto"/>
        </w:rPr>
        <w:t>B2M</w:t>
      </w:r>
      <w:r>
        <w:rPr>
          <w:rFonts w:ascii="Arial" w:cs="Arial" w:eastAsia="Arial" w:hAnsi="Arial"/>
          <w:sz w:val="17"/>
          <w:szCs w:val="17"/>
          <w:color w:val="auto"/>
        </w:rPr>
        <w:t xml:space="preserve"> gene and insertion of a B2M–human-leukocyte-antigen-E–peptide transgene (“B2M–HLA-E”), enabling expression of HLA-E on the CAR-T cell surface. This strategy is designed to reduce CAR-T cell rejection by both patient T cells and natural killer (“NK”) cells to potentially enable more durable antitumor activity. CB-011 is being evaluated in our ongoing CaMMouflage phase 1 clinical trial in patients with relapsed or refractory multiple myeloma (“r/r MM”). CB-011 has received fast track designation for r/r MM from the FDA. We plan to provide updates on dose escalation as the CaMMouflage Phase 1 trial advances.</w:t>
      </w:r>
    </w:p>
    <w:p>
      <w:pPr>
        <w:spacing w:after="0" w:line="137"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Our third product candidate, CB-012, is an allogeneic CAR-T cell therapy targeting CLL-1, currently in preclinical development for the treatment of relapsed or refractory acute myeloid leukemia (“r/r AML”). CB-012 is, to our knowledge, the first allogeneic CAR-T cell therapy with both checkpoint disruption and immune cloaking strategies. We believe that CLL-1 is an attractive target for acute myeloid leukemia (“AML”) due to its expression on myeloid cancer cells, its enrichment in leukemic stem cells, and its absence on hematopoietic stem cells (“HSCs”). CB-012 is being evaluated in investigational new drug (“IND”)-enabling studies to support a planned IND application submission for r/r AML in the second half of 2023.</w:t>
      </w:r>
    </w:p>
    <w:p>
      <w:pPr>
        <w:spacing w:after="0" w:line="12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developing allogeneic CAR-NK cell therapies derived from genome-edited induced pluripotent stem cells (“iPSCs”) for the treatment of solid tumors. CB-020 is our first CAR-NK product candidate from our CAR-NK platform and we have selected receptor tyrosine kinase like orphan receptor 1 (“ROR1”) as the tumor cell-surface target for CB-020. CB-020 and potential future CAR-NK cell therapy product candidates will contain genome edits designed to overcome some of the challenges of targeting solid tumors, such as trafficking, tumor infiltration, tumor heterogeneity, and the immunosuppressive tumor microenvironment.</w:t>
      </w:r>
    </w:p>
    <w:p>
      <w:pPr>
        <w:spacing w:after="0" w:line="16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Since our founding in 2011, we have devoted substantially all of our resources to organizing and staffing, business planning, raising capital, expanding our genome-editing platform technologies, developing our product candidates and building our pipeline, creating and maintaining our intellectual property portfolio, and establishing arrangements with third parties for the manufacture, testing, and clinical trial evaluations of our product candidates. We do not have any products approved for commercial sale and have not generated any revenue from product sales. We have incurred net losses since commencement of our operations.</w:t>
      </w:r>
    </w:p>
    <w:p>
      <w:pPr>
        <w:spacing w:after="0" w:line="14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To date, we have primarily funded our operations through proceeds from the sales of our capital stock, revenue from our license and collaboration agreements, and proceeds from the sale of shares of Intellia Therapeutics, Inc. (“Intellia”) common stock. Our net losses for the three months ended</w:t>
      </w:r>
    </w:p>
    <w:p>
      <w:pPr>
        <w:ind w:right="200"/>
        <w:spacing w:after="0" w:line="295" w:lineRule="auto"/>
        <w:rPr>
          <w:sz w:val="20"/>
          <w:szCs w:val="20"/>
          <w:color w:val="auto"/>
        </w:rPr>
      </w:pPr>
      <w:r>
        <w:rPr>
          <w:rFonts w:ascii="Arial" w:cs="Arial" w:eastAsia="Arial" w:hAnsi="Arial"/>
          <w:sz w:val="16"/>
          <w:szCs w:val="16"/>
          <w:color w:val="auto"/>
        </w:rPr>
        <w:t>June 30, 2023, and 2022 were $29.5 million and $26.7 million, respectively. Our net losses for the six months ended June 30, 2023, and 2022 were $57.6 million and $45.8 million, respectively. We had an accumulated deficit of $254.8 million as of June 30, 2023. Our net losses and operating losses may fluctuate from quarter to quarter and year to year depending primarily on the timing of expenses associated with our clinical trials and nonclinical studies and our other research and development expenses. We anticipate that our expenses will increase substantially if and as we:</w:t>
      </w:r>
    </w:p>
    <w:p>
      <w:pPr>
        <w:spacing w:after="0" w:line="53" w:lineRule="exact"/>
        <w:rPr>
          <w:sz w:val="20"/>
          <w:szCs w:val="20"/>
          <w:color w:val="auto"/>
        </w:rPr>
      </w:pPr>
    </w:p>
    <w:p>
      <w:pPr>
        <w:ind w:left="980" w:right="30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progress our ANTLER phase 1 clinical trial for our CB-010 product candidate and our CaMMouflage phase 1 clinical trial for our CB-011 product candidate;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2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and clinical development of our other current product candidates, including CB-012, CB-020, and any other product candidates we identify and choose to develop;</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clinical, quality control, regulatory, technical operations, and scientific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develop our genome-editing technologies;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or in-license technologies;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maintain, enforce, and defend our intellectual property portfolio;</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 if any;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and expand manufacturing capabilities and supply chain capacity for our product candidates;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legal, financial, and management information systems and personnel;</w:t>
      </w:r>
    </w:p>
    <w:p>
      <w:pPr>
        <w:spacing w:after="0" w:line="117" w:lineRule="exact"/>
        <w:rPr>
          <w:rFonts w:ascii="Arial" w:cs="Arial" w:eastAsia="Arial" w:hAnsi="Arial"/>
          <w:sz w:val="18"/>
          <w:szCs w:val="18"/>
          <w:color w:val="auto"/>
        </w:rPr>
      </w:pPr>
    </w:p>
    <w:p>
      <w:pPr>
        <w:ind w:left="980" w:right="80" w:hanging="486"/>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experience any delays, challenges, or other issues associated with any of the above, including the failure of clinical trials meeting endpoints, the generation of unanticipated preclinical results or clinical trial data subject to differing interpretations, or the occurrence of potential safety issues or other development or regulatory challenges;</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royalty, milestone, or other payments under current, and any future, in-license or assignment agreements;</w:t>
      </w:r>
    </w:p>
    <w:p>
      <w:pPr>
        <w:spacing w:after="0" w:line="117"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obtain marketing approval;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8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We do not own or operate any manufacturing facilities. We use multiple contract manufacturing organizations (“CMOs”) to individually manufacture, under current good manufacturing processes, chRDNA guides, Cas9 and Cas12a proteins, plasmids, and adeno-associated virus serotype 6 vectors used in the manufacture of our CAR-T cells as well as our CAR-NK cell therapy product candidates. We expect to continue to rely on our CMOs for the manufacturing of our preclinical study and clinical trial materials, and most of these CMOs have capabilities for commercial manufacturing. Additionally, we may decide to build our own manufacturing facility in the future to provide us greater flexibility and control over our clinical or commercial manufacturing needs.</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Because of the numerous risks and uncertainties associated with therapeutic product development, we may never achieve profitability and, unless and until we are able to develop and commercialize our product candidates, we will need to continue to raise additional capital. Until such time as we can generate significant revenue from product sales, if ever, we expect to finance our operations through equity offerings (including our at-the-market facility), debt financings, collaborations and strategic alliances, licensing arrangements, or other sources. There are no assurances that we will be successful in obtaining an adequate level of financing to support our business plans as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and Collaboration Revenue</w:t>
      </w:r>
    </w:p>
    <w:p>
      <w:pPr>
        <w:spacing w:after="0" w:line="198"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We have not generated any revenue from product sales to date and do not expect to generate any revenue from the sale of products in the foreseeable future. If our development efforts for our product candidates are successful and result in regulatory approval and commercialization, we may generate revenue in the future from product sales. We cannot predict if, when, or to what extent we will generate revenue from the commercialization and sale of our product candidates if we succeed in obtaining regulatory approval for these product candidates.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To date, all of our revenue consists of licensing and collaboration revenue earned from collaboration and/or licensing agreements entered into with third parties, including related parties. Under these agreements, we license rights to certain intellectual property controlled by us. The terms of these arrangements typically include payments to us of one or more of the following: nonrefundable, upfront license fees or exclusivity fees; annual maintenance fees; regulatory and/or commercial milestone payments; research and development payments; and royalties on the net sales of products and/or services. Each of these payments results in licensing and collaboration revenue. Revenue under such licensing and collaboration agreements was $3.8 million and $4.2 million for the three months ended June 30, 2023, and 2022, respectively, and $7.3 million and $6.9 million for the six months ended June 30, 2023, and 2022, respectively. See Notes 4 and 5 to our unaudited condensed consolidated financial statements included elsewhere in this Form 10-Q.</w:t>
      </w:r>
    </w:p>
    <w:p>
      <w:pPr>
        <w:spacing w:after="0" w:line="13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For additional information about our revenue recognition policy related to our licensing and collaboration agreements, see Note 2 to the consolidated financial statements included in our Form 10-K.</w:t>
      </w:r>
    </w:p>
    <w:p>
      <w:pPr>
        <w:spacing w:after="0" w:line="130" w:lineRule="exact"/>
        <w:rPr>
          <w:sz w:val="20"/>
          <w:szCs w:val="20"/>
          <w:color w:val="auto"/>
        </w:rPr>
      </w:pPr>
    </w:p>
    <w:p>
      <w:pPr>
        <w:ind w:right="1080" w:firstLine="648"/>
        <w:spacing w:after="0" w:line="461" w:lineRule="auto"/>
        <w:rPr>
          <w:sz w:val="20"/>
          <w:szCs w:val="20"/>
          <w:color w:val="auto"/>
        </w:rPr>
      </w:pPr>
      <w:r>
        <w:rPr>
          <w:rFonts w:ascii="Arial" w:cs="Arial" w:eastAsia="Arial" w:hAnsi="Arial"/>
          <w:sz w:val="18"/>
          <w:szCs w:val="18"/>
          <w:color w:val="auto"/>
        </w:rPr>
        <w:t xml:space="preserve">For the foreseeable future we expect substantially all of our revenue will be generated from licensing and collaboration agreements. </w:t>
      </w:r>
      <w:r>
        <w:rPr>
          <w:rFonts w:ascii="Arial" w:cs="Arial" w:eastAsia="Arial" w:hAnsi="Arial"/>
          <w:sz w:val="18"/>
          <w:szCs w:val="18"/>
          <w:b w:val="1"/>
          <w:bCs w:val="1"/>
          <w:i w:val="1"/>
          <w:iCs w:val="1"/>
          <w:color w:val="auto"/>
        </w:rPr>
        <w:t>Operating Expenses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research and development expenses consist of internal and external expenses incurred in connection with the development of our product candidates and our platform technologies, and our in-licensing and assignment agreements.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External costs include:</w:t>
      </w:r>
    </w:p>
    <w:p>
      <w:pPr>
        <w:spacing w:after="0" w:line="117" w:lineRule="exact"/>
        <w:rPr>
          <w:sz w:val="20"/>
          <w:szCs w:val="20"/>
          <w:color w:val="auto"/>
        </w:rPr>
      </w:pPr>
    </w:p>
    <w:p>
      <w:pPr>
        <w:ind w:left="1140" w:right="6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acquiring technology and intellectual property licenses that have no alternative future uses, sublicensing revenue, and milestones under our licensing agreements;</w:t>
      </w:r>
    </w:p>
    <w:p>
      <w:pPr>
        <w:spacing w:after="0" w:line="62" w:lineRule="exact"/>
        <w:rPr>
          <w:rFonts w:ascii="Arial" w:cs="Arial" w:eastAsia="Arial" w:hAnsi="Arial"/>
          <w:sz w:val="18"/>
          <w:szCs w:val="18"/>
          <w:color w:val="auto"/>
        </w:rPr>
      </w:pPr>
    </w:p>
    <w:p>
      <w:pPr>
        <w:ind w:left="1140" w:right="26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incurred in connection with the preclinical and clinical development and manufacturing of our product candidates, including under agreements with contract research organizations (“CROs”), CMOs, and clinical sites; and</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research and development costs, including laboratory materials and supplies, and consulting services.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Internal costs include:</w:t>
      </w:r>
    </w:p>
    <w:p>
      <w:pPr>
        <w:spacing w:after="0" w:line="117" w:lineRule="exact"/>
        <w:rPr>
          <w:sz w:val="20"/>
          <w:szCs w:val="20"/>
          <w:color w:val="auto"/>
        </w:rPr>
      </w:pPr>
    </w:p>
    <w:p>
      <w:pPr>
        <w:ind w:left="1140" w:right="200" w:hanging="484"/>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personnel-related costs, including salaries, benefits, and share-based compensation expense, for our research and development personnel; and</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allocated facilities and other overhead expenses, including expenses for rent, facilities maintenance, and depreciation.</w:t>
      </w:r>
    </w:p>
    <w:p>
      <w:pPr>
        <w:spacing w:after="0" w:line="19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expense research and development costs as incurred.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prepaid expenses and other current assets on our condensed consolidated balance sheets. The capitalized amounts are recognized as expense as the goods are delivered or as related services are performed. We separately track certain external costs on a program-by-program basis; however, we do not track costs that are deployed across multiple programs.</w:t>
      </w:r>
    </w:p>
    <w:p>
      <w:pPr>
        <w:spacing w:after="0" w:line="13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for the foreseeable future as we continue to implement our business strategy; advance our CB-010 and CB-011 product candidates through clinical trials and later stages of development; conduct preclinical studies and clinical trials for our other product candidates; seek regulatory approvals for any product candidates that successfully complete clinical trials; expand our research and development efforts and incur expenses associated with hiring additional personnel to support our research and development efforts; and seek to identify, in-license, acquire, and/or develop additional product candidates.</w:t>
      </w:r>
    </w:p>
    <w:p>
      <w:pPr>
        <w:spacing w:after="0" w:line="13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successful development of our CB-010, CB-011, CB-012, and CB-020 product candidates, as well as other potential future product candidates, is highly uncertain. Accordingly, at this time, we cannot reasonably estimate or know the nature, timing, and costs of the efforts that will be necessary to complete the development of our product candidates. We are also unable to predict when, if ever, we will generate revenue and material net cash inflows from the</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commercialization and sale of any of our product candidates for which we may obtain marketing approval. We may never succeed in achieving regulatory approval for any of our product candidates. The duration, costs, and timing of preclinical studies, clinical trials, and development of our product candidates will depend on a variety of factors, including:</w:t>
      </w:r>
    </w:p>
    <w:p>
      <w:pPr>
        <w:spacing w:after="0" w:line="76" w:lineRule="exact"/>
        <w:rPr>
          <w:sz w:val="20"/>
          <w:szCs w:val="20"/>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of our CRISPR chRDNA genome-editing technology;</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develop differentiating features so that our products have a competitive edge;</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preclinical studies;</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establishment, maintenance, enforcement, and defense of our patents and other intellectual property rights;</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not infringe, misappropriate, or otherwise violate third-party intellectual property rights;</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clearance of IND applications to initiate clinical trials on product candidates;</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enrollment in, and completion of, our clinical trials on our product candidates;</w:t>
      </w:r>
    </w:p>
    <w:p>
      <w:pPr>
        <w:spacing w:after="0" w:line="117" w:lineRule="exact"/>
        <w:rPr>
          <w:rFonts w:ascii="Arial" w:cs="Arial" w:eastAsia="Arial" w:hAnsi="Arial"/>
          <w:sz w:val="18"/>
          <w:szCs w:val="18"/>
          <w:color w:val="auto"/>
        </w:rPr>
      </w:pPr>
    </w:p>
    <w:p>
      <w:pPr>
        <w:ind w:left="1620" w:right="680" w:hanging="478"/>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data from our clinical trials that support an acceptable risk-benefit profile of our product candidates for the intended patient populations and that demonstrate safety and efficacy;</w:t>
      </w:r>
    </w:p>
    <w:p>
      <w:pPr>
        <w:spacing w:after="0" w:line="62"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entry into collaborations to further the development of our product candidates or for the development of new product candidates;</w:t>
      </w:r>
    </w:p>
    <w:p>
      <w:pPr>
        <w:spacing w:after="0" w:line="140" w:lineRule="exact"/>
        <w:rPr>
          <w:rFonts w:ascii="Arial" w:cs="Arial" w:eastAsia="Arial" w:hAnsi="Arial"/>
          <w:sz w:val="16"/>
          <w:szCs w:val="16"/>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development of our internal process development and transfer to larger-scale facilities;</w:t>
      </w:r>
    </w:p>
    <w:p>
      <w:pPr>
        <w:spacing w:after="0" w:line="117" w:lineRule="exact"/>
        <w:rPr>
          <w:rFonts w:ascii="Arial" w:cs="Arial" w:eastAsia="Arial" w:hAnsi="Arial"/>
          <w:sz w:val="18"/>
          <w:szCs w:val="18"/>
          <w:color w:val="auto"/>
        </w:rPr>
      </w:pPr>
    </w:p>
    <w:p>
      <w:pPr>
        <w:ind w:left="1620" w:right="740" w:hanging="478"/>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establishment of agreements with CMOs for clinical and commercial supplies and scaling up manufacturing processes and capabilities to support our clinical trials;</w:t>
      </w:r>
    </w:p>
    <w:p>
      <w:pPr>
        <w:spacing w:after="0" w:line="62"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of regulatory exclusivity for our product candidates;</w:t>
      </w:r>
    </w:p>
    <w:p>
      <w:pPr>
        <w:spacing w:after="0" w:line="117" w:lineRule="exact"/>
        <w:rPr>
          <w:rFonts w:ascii="Arial" w:cs="Arial" w:eastAsia="Arial" w:hAnsi="Arial"/>
          <w:sz w:val="18"/>
          <w:szCs w:val="18"/>
          <w:color w:val="auto"/>
        </w:rPr>
      </w:pPr>
    </w:p>
    <w:p>
      <w:pPr>
        <w:ind w:left="1620" w:right="340" w:hanging="478"/>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establishment of sales, marketing, and distribution capabilities necessary for commercialization of our product candidates if and when approved, whether by us or in collaboration with third parties;</w:t>
      </w:r>
    </w:p>
    <w:p>
      <w:pPr>
        <w:spacing w:after="0" w:line="62"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products post-approval;</w:t>
      </w:r>
    </w:p>
    <w:p>
      <w:pPr>
        <w:spacing w:after="0" w:line="117" w:lineRule="exact"/>
        <w:rPr>
          <w:rFonts w:ascii="Arial" w:cs="Arial" w:eastAsia="Arial" w:hAnsi="Arial"/>
          <w:sz w:val="18"/>
          <w:szCs w:val="18"/>
          <w:color w:val="auto"/>
        </w:rPr>
      </w:pPr>
    </w:p>
    <w:p>
      <w:pPr>
        <w:ind w:left="1620" w:right="560" w:hanging="478"/>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the applicable regulatory authorities, by patients, the medical community, and third-party payors;</w:t>
      </w:r>
    </w:p>
    <w:p>
      <w:pPr>
        <w:spacing w:after="0" w:line="62"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of our products to compete with other therapies and treatment options;</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establishment and maintenance of healthcare coverage and adequate reimbursement; and</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expanded indications and patient populations for our products.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research and development expenses for the periods indicated:</w:t>
      </w:r>
    </w:p>
    <w:p>
      <w:pPr>
        <w:sectPr>
          <w:pgSz w:w="11900" w:h="16838" w:orient="portrait"/>
          <w:cols w:equalWidth="0" w:num="1">
            <w:col w:w="11240"/>
          </w:cols>
          <w:pgMar w:left="320" w:top="125" w:right="339" w:bottom="1440" w:gutter="0" w:footer="0" w:header="0"/>
        </w:sect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31115</wp:posOffset>
            </wp:positionV>
            <wp:extent cx="19373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33" w:lineRule="exact"/>
        <w:rPr>
          <w:sz w:val="20"/>
          <w:szCs w:val="20"/>
          <w:color w:val="auto"/>
        </w:rPr>
      </w:pPr>
    </w:p>
    <w:p>
      <w:pPr>
        <w:ind w:left="5640"/>
        <w:spacing w:after="0"/>
        <w:tabs>
          <w:tab w:leader="none" w:pos="718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39370</wp:posOffset>
            </wp:positionV>
            <wp:extent cx="1937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47"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23495</wp:posOffset>
            </wp:positionV>
            <wp:extent cx="19373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22"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46990</wp:posOffset>
            </wp:positionV>
            <wp:extent cx="19373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51" w:lineRule="exact"/>
        <w:rPr>
          <w:sz w:val="20"/>
          <w:szCs w:val="20"/>
          <w:color w:val="auto"/>
        </w:rPr>
      </w:pPr>
    </w:p>
    <w:p>
      <w:pPr>
        <w:sectPr>
          <w:pgSz w:w="11900" w:h="16838" w:orient="portrait"/>
          <w:cols w:equalWidth="0" w:num="2">
            <w:col w:w="8060" w:space="720"/>
            <w:col w:w="24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costs: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40" w:type="dxa"/>
            <w:vAlign w:val="bottom"/>
          </w:tcPr>
          <w:p>
            <w:pPr>
              <w:ind w:left="180"/>
              <w:spacing w:after="0" w:line="176" w:lineRule="exact"/>
              <w:rPr>
                <w:sz w:val="20"/>
                <w:szCs w:val="20"/>
                <w:color w:val="auto"/>
              </w:rPr>
            </w:pPr>
            <w:r>
              <w:rPr>
                <w:rFonts w:ascii="Arial" w:cs="Arial" w:eastAsia="Arial" w:hAnsi="Arial"/>
                <w:sz w:val="18"/>
                <w:szCs w:val="18"/>
                <w:color w:val="auto"/>
              </w:rPr>
              <w:t>Expenses related to licensing, sublicensing revenue, and</w:t>
            </w: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743</w:t>
            </w:r>
          </w:p>
        </w:tc>
        <w:tc>
          <w:tcPr>
            <w:tcW w:w="600" w:type="dxa"/>
            <w:vAlign w:val="bottom"/>
            <w:gridSpan w:val="2"/>
            <w:vMerge w:val="restart"/>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554</w:t>
            </w:r>
          </w:p>
        </w:tc>
        <w:tc>
          <w:tcPr>
            <w:tcW w:w="600" w:type="dxa"/>
            <w:vAlign w:val="bottom"/>
            <w:gridSpan w:val="2"/>
            <w:vMerge w:val="restart"/>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1,173</w:t>
            </w:r>
          </w:p>
        </w:tc>
        <w:tc>
          <w:tcPr>
            <w:tcW w:w="620" w:type="dxa"/>
            <w:vAlign w:val="bottom"/>
            <w:gridSpan w:val="2"/>
            <w:vMerge w:val="restart"/>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milestones</w:t>
            </w:r>
          </w:p>
        </w:tc>
        <w:tc>
          <w:tcPr>
            <w:tcW w:w="5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4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w w:val="94"/>
              </w:rPr>
              <w:t>Services provided by CROs, CMOs, clinical sites, and other third</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parties that conduct preclinical studies and clinical trials on our</w:t>
            </w:r>
          </w:p>
        </w:tc>
        <w:tc>
          <w:tcPr>
            <w:tcW w:w="5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10,138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behalf</w:t>
            </w:r>
          </w:p>
        </w:tc>
        <w:tc>
          <w:tcPr>
            <w:tcW w:w="5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research and development expenses</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external costs</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15,209</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30,419</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21,825</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Internal costs: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Personnel-related expenses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Facilities and other allocated expenses</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internal costs</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11,512</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14,678</w:t>
            </w:r>
          </w:p>
        </w:tc>
        <w:tc>
          <w:tcPr>
            <w:tcW w:w="0" w:type="dxa"/>
            <w:vAlign w:val="bottom"/>
          </w:tcPr>
          <w:p>
            <w:pPr>
              <w:spacing w:after="0"/>
              <w:rPr>
                <w:sz w:val="1"/>
                <w:szCs w:val="1"/>
                <w:color w:val="auto"/>
              </w:rPr>
            </w:pPr>
          </w:p>
        </w:tc>
      </w:tr>
      <w:tr>
        <w:trPr>
          <w:trHeight w:val="223"/>
        </w:trPr>
        <w:tc>
          <w:tcPr>
            <w:tcW w:w="5040" w:type="dxa"/>
            <w:vAlign w:val="bottom"/>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26,503</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22,579</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36,503</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general and administrative expenses consist primarily of personnel-related costs, intellectual property costs, consulting costs, and allocated overhead, including rent, equipment depreciation, and utilities. Personnel-related costs consist of salaries, benefits, and stock-based compensation for our general and administrative personnel. Intellectual property costs include expenses for filing, prosecuting, and maintaining patents and patent applications, including certain patents and patent applications that we license from third parties. We are entitled to receive reimbursement from third parties of a portion of the costs for filing, prosecuting, and maintaining certain patents and patent applications. We accrue for these reimbursements as the respective expenses are incurred and classify such reimbursements as a reduction of general and administrative expenses. During each of the three months ended June 30, 2023, and 2022, we recorded $0.7 million of patent cost reimbursements as a reduction to general and administrative expense. During the six months ended June 30, 2023, and 2022, we recorded $1.1 million and $2.1 million, respectively, of patent cost reimbursements as a reduction to general and administrative expense.</w:t>
      </w:r>
    </w:p>
    <w:p>
      <w:pPr>
        <w:spacing w:after="0" w:line="1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expect that our general and administrative expenses may increase in the future as a result of expanding our operations, including hiring personnel, preparing for potential commercialization of our product candidates, and additional facility occupancy costs, as well as other expenses necessary to support the growth and operations of a clinical-stage public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98"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Other income (expense) consists primarily of interest income earned on cash and marketable securities, change in the fair value of our equity investments, and change in the fair value of the Memorial Sloan Kettering Cancer Center (“MSKCC”) success payments liability under the Exclusive License Agreement, dated November 13, 2020, with MSKCC (the “MSKCC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3"/>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and collaboration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Change in fair value of equity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the MSKCC success payments liability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and Collaboration Revenue</w:t>
      </w:r>
    </w:p>
    <w:p>
      <w:pPr>
        <w:spacing w:after="0" w:line="1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Licensing and collaboration revenue decreased by $0.4 million to $3.8 million for the three months ended June 30, 2023, from $4.2 million for the three months ended June 30, 2022. This decrease was primarily related to decrease of $1.5 million related to recognition of revenue under the Collaboration and License Agreement (as amended, the “AbbVie Agreement”) with AbbVie Manufacturing Management Unlimited Company (“AbbVie”), partially offset by an increase of $1.2 million related to the Exclusive License Agreement for Veterinary Therapeutics (CRISPR-Cas9) (the “Edge Cas9 License Agreement”) with Edge Animal Health.</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revenue by licensee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060" w:type="dxa"/>
            <w:vAlign w:val="bottom"/>
            <w:gridSpan w:val="5"/>
          </w:tcPr>
          <w:p>
            <w:pPr>
              <w:jc w:val="right"/>
              <w:ind w:right="51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AbbVie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Edge Animal Health, related party</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licensees</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6600" w:type="dxa"/>
            <w:vAlign w:val="bottom"/>
          </w:tcPr>
          <w:p>
            <w:pPr>
              <w:ind w:left="180"/>
              <w:spacing w:after="0"/>
              <w:rPr>
                <w:sz w:val="20"/>
                <w:szCs w:val="20"/>
                <w:color w:val="auto"/>
              </w:rPr>
            </w:pPr>
            <w:r>
              <w:rPr>
                <w:rFonts w:ascii="Arial" w:cs="Arial" w:eastAsia="Arial" w:hAnsi="Arial"/>
                <w:sz w:val="18"/>
                <w:szCs w:val="18"/>
                <w:color w:val="auto"/>
              </w:rPr>
              <w:t>Total licensing revenue</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3,755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4,192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Research and development expenses increased by $3.9 million to $26.5 million for the three months ended June 30, 2023, from $22.6 million for the three months ended June 30, 2022. This increase was primarily related to increases of $3.6 million in personnel-related expenses, including stock-based compensation, due to headcount increases; $0.5 million of net increase in external CMO and CRO activities for our CAR-T cell therapy product candidates, driven by an increase of $3.1 million in CRO activities for clinical trials, partially offset by a decrease of $2.6 million due to timing of CMO activities; and $0.5 million in other facilities and allocated expenses; partially offset by a decrease of $0.9 million in other research and development expenses, as well as other outside services related to research and development.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General and administrative expenses increased by $0.1 million to $10.1 million for the three months ended June 30, 2023, from $10.0 million for the three months ended June 30, 2022. This increase was primarily related to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increases of $0.5 million in other facilities and allocated expenses; $0.5 million in patent prosecution and maintenance costs; and $0.4 million in personnel-related expenses, including stock-based compensation, due to headcount increases; partially offset by a decrease of $1.3 million in director and officer insurance and legal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other income increased by $1.6 million for three months ended June 30, 2023, as compared to the three months ended June 30, 2022.</w:t>
      </w:r>
    </w:p>
    <w:p>
      <w:pPr>
        <w:spacing w:after="0" w:line="19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recognized a gain related to the change in the fair value of the MSKCC success payments liability in the amount of $0.3 million and $1.1 million, for the three months ended June 30, 2023, and 2022, respectively.</w:t>
      </w:r>
    </w:p>
    <w:p>
      <w:pPr>
        <w:spacing w:after="0" w:line="14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Other income, net increased by $2.4 million during the three months ended June 30, 2023, compared to June 30, 2022. The increase primarily relates to a $2.4 million increase in interest income earned from marketable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6"/>
        </w:trPr>
        <w:tc>
          <w:tcPr>
            <w:tcW w:w="66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r>
      <w:tr>
        <w:trPr>
          <w:trHeight w:val="19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3"/>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8"/>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and collaboration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15,709</w:t>
            </w:r>
          </w:p>
        </w:tc>
      </w:tr>
      <w:tr>
        <w:trPr>
          <w:trHeight w:val="229"/>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r>
      <w:tr>
        <w:trPr>
          <w:trHeight w:val="223"/>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(14,700)</w:t>
            </w: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Change in fair value of equity securities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the MSKCC success payments liability</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30"/>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w:t>
            </w:r>
          </w:p>
        </w:tc>
      </w:tr>
      <w:tr>
        <w:trPr>
          <w:trHeight w:val="223"/>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(57,563)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(45,785)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(11,778)</w:t>
            </w:r>
          </w:p>
        </w:tc>
      </w:tr>
      <w:tr>
        <w:trPr>
          <w:trHeight w:val="27"/>
        </w:trPr>
        <w:tc>
          <w:tcPr>
            <w:tcW w:w="66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and Collaboration Revenue</w:t>
      </w:r>
    </w:p>
    <w:p>
      <w:pPr>
        <w:spacing w:after="0" w:line="18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Licensing and collaboration revenue increased by $0.4 million to $7.3 million for the six months ended June 30, 2023, from $6.9 million for the six months ended June 30, 2022. This increase was primarily related to an increase of $1.2 million related to the Edge Cas9 License Agreement, partially offset by a decrease of $0.8 million related to recognition of revenue under the AbbVie Agreement.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revenue by licensee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AbbVie</w:t>
            </w:r>
          </w:p>
        </w:tc>
        <w:tc>
          <w:tcPr>
            <w:tcW w:w="3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2,983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Edge Animal Health, related party</w:t>
            </w:r>
          </w:p>
        </w:tc>
        <w:tc>
          <w:tcPr>
            <w:tcW w:w="2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licensees</w:t>
            </w:r>
          </w:p>
        </w:tc>
        <w:tc>
          <w:tcPr>
            <w:tcW w:w="25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6"/>
        </w:trPr>
        <w:tc>
          <w:tcPr>
            <w:tcW w:w="4020" w:type="dxa"/>
            <w:vAlign w:val="bottom"/>
          </w:tcPr>
          <w:p>
            <w:pPr>
              <w:ind w:left="180"/>
              <w:spacing w:after="0"/>
              <w:rPr>
                <w:sz w:val="20"/>
                <w:szCs w:val="20"/>
                <w:color w:val="auto"/>
              </w:rPr>
            </w:pPr>
            <w:r>
              <w:rPr>
                <w:rFonts w:ascii="Arial" w:cs="Arial" w:eastAsia="Arial" w:hAnsi="Arial"/>
                <w:sz w:val="18"/>
                <w:szCs w:val="18"/>
                <w:color w:val="auto"/>
              </w:rPr>
              <w:t>Total licensing revenue</w:t>
            </w:r>
          </w:p>
        </w:tc>
        <w:tc>
          <w:tcPr>
            <w:tcW w:w="35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7,257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6,856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580" w:type="dxa"/>
            <w:vAlign w:val="bottom"/>
            <w:vMerge w:val="restart"/>
          </w:tcPr>
          <w:p>
            <w:pPr>
              <w:jc w:val="right"/>
              <w:ind w:right="790"/>
              <w:spacing w:after="0"/>
              <w:rPr>
                <w:sz w:val="20"/>
                <w:szCs w:val="20"/>
                <w:color w:val="auto"/>
              </w:rPr>
            </w:pPr>
            <w:r>
              <w:rPr>
                <w:rFonts w:ascii="Arial" w:cs="Arial" w:eastAsia="Arial" w:hAnsi="Arial"/>
                <w:sz w:val="18"/>
                <w:szCs w:val="18"/>
                <w:color w:val="auto"/>
              </w:rPr>
              <w:t>28</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2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Research and development expenses increased by $15.7 million to $52.2 million for the six months ended June 30, 2023, from $36.5 million for the six months ended June 30, 2022. This increase was primarily related to increases of $6.8 million in external CMO and CRO activities for our CAR-T cell therapy product candidates, driven by increases of $4.6 million in CRO activities for clinical trials and $2.2 million due to timing of CMO activities; $6.0 million in personnel-related expenses, including stock-based compensation, due to headcount increases; $1.5 million in other research and development expenses, as well as other consulting services related to research and development; $1.1 million in other facilities and allocated expenses; and $0.3 million in expenses related to licenses, sublicensing revenue, and milestones.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General and administrative expenses decreased by $0.6 million to $19.0 million for the six months ended June 30, 2023, from $19.6 million for the six months ended June 30, 2022. This decrease was primarily related to a decrease of $2.1 million in director and officer insurance and legal, accounting, and recruiting expenses; partially offset by increases of $0.9 million in personnel-related expenses, including stock-based compensation, due to headcount increases; and $0.5 million in other facilities and allocated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other income increased by $2.9 million for six months ended June 30, 2023, as compared to the six months ended June 30, 2022.</w:t>
      </w:r>
    </w:p>
    <w:p>
      <w:pPr>
        <w:spacing w:after="0" w:line="19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recognized a gain related to the change in the fair value of the MSKCC success payments liability in the amount of $0.5 million and $2.6 million, respectively, for the six months ended June 30, 2023, and 2022, respectively.</w:t>
      </w:r>
    </w:p>
    <w:p>
      <w:pPr>
        <w:spacing w:after="0" w:line="1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income, net increased by $4.9 million during the six months ended June 30, 2023, compared to June 30, 2022. The increase primarily relates to a $4.9 million increase in interest income earned from marketable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Capital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9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and negative cash flows from our operations. We have funded our operations through sales of our capital stock, including sales of our convertible preferred stock, which generated approximately $150.1 million in aggregate net proceeds, and from our initial public offering (“IPO”) in 2021, which generated approximately $321.0 million in net proceeds. We have also received approximately $88.4 million in net proceeds from the sale of Intellia common stock. Additionally, we received $25.0 million equity investment from Pfizer Inc. (“Pfizer”) through a private placement transaction in June 2023. Further, through June 30, 2023, we received approximately $89.4 million from licensing agreements, licensing and collaboration agreements, a service agreement, patent assignments, and government grants, including $34.6 million that was received from AbbVie under the AbbVie Agreement.</w:t>
      </w:r>
    </w:p>
    <w:p>
      <w:pPr>
        <w:spacing w:after="0" w:line="12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order to assist in funding our future operations, including our planned clinical trials, on August 9, 2022, we filed a universal shelf registration statement on Form S-3 (the “Shelf Registration Statement”) with the SEC, which allows us to, from time to time, sell up to $400.0 million of common stock, preferred stock, debt securities, warrants, rights, or units comprised of any combination thereof (including the $100.0 million of common stock reserved for our at-the-market equity offering program described below). The Shelf Registration Statement was declared effective by the SEC on August 16, 2022.</w:t>
      </w:r>
    </w:p>
    <w:p>
      <w:pPr>
        <w:spacing w:after="0" w:line="147"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On August 9, 2022, we entered into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(the “ ATM Sales Agreement”) with Jefferies LLC (“Jefferies”), pursuant to which, upon the terms and subject to the conditions and limitations set forth in the ATM Sales Agreement, we may, from time to time, in our sole discretion, issue and sell, through Jefferies, acting as sales agent, up to $100.0 million of our shares of common stock, by any method permitted by law deemed to be an “at the market offering” as defined in Rule 415(a)(4) of the Securities Act of 1933, as amended (the “Securities Act”). Jefferies uses commercially reasonable efforts consistent with its normal sales and trading practices to sell shares from time to time, based upon our instructions (including any price or size limits or other customary parameters or conditions we may impose). We pay Jefferies a commission equal to 3.0% of the aggregate gross proceeds of any shares sold through Jefferies pursuant to the ATM Sales Agreement. During the six months ended June 30, 2023, we sold 168,635 shares of our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common stock under the ATM Sales Agreement at an average price per share of $7.32 for aggregate gross proceeds of $1.2 million ($1.0 million net of offering expenses).</w:t>
      </w:r>
    </w:p>
    <w:p>
      <w:pPr>
        <w:spacing w:after="0" w:line="14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July and August 2023, we issued and sold a total of 22,115,384 shares of our common stock in an underwritten public offering at a price to the public of $6.50 per share, which included the full exercise of the underwriters’ over-allotment option. The total net proceeds from the offering were approximately $134.6 million, after deducting underwriting discounts and commissions and estimated offering expenses. The shares were issued pursuant to the Shelf Registration Statement.</w:t>
      </w:r>
    </w:p>
    <w:p>
      <w:pPr>
        <w:spacing w:after="0" w:line="14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June 30, 2023, we had cash, cash equivalents, and marketable securities of $292.5 million, which does not include the net proceeds from our July and August 2023 underwritten public offering under the Shelf Registration Statement. We will continue to be dependent upon equity financing, debt financing, collaboration and licensing arrangements, and/or other forms of capital raises at least until we are able to generate significant positive cash flows from our operations. We have no current ongoing material financing commitments, such as lines of credit or guarantees, that are expected to affect our liquidity over the next five years, except for our lease commitments as described in Note 8 to our condensed consolidated financial statements included elsewhere in this Form 10-Q, and payments under certain of our license agreements as described in Note 4 to our condensed consolidated financial statements included elsewhere in this Form 10-Q.</w:t>
      </w:r>
    </w:p>
    <w:p>
      <w:pPr>
        <w:spacing w:after="0" w:line="154"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Based on our current operating plan, we expect that our existing cash, cash equivalents, and marketable securities will be sufficient to fund our current operating plan for at least the next 12 months from the date of this Form 10-Q. We have based these estimates on our current assumptions, which may require future adjustments based on our ongoing business decisions.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Investment</w:t>
      </w:r>
    </w:p>
    <w:p>
      <w:pPr>
        <w:spacing w:after="0" w:line="18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June 29, 2023, we entered into a Securities Purchase Agreement (the “Securities Purchase Agreement”) with Pfizer, pursuant to which we, in a private placement transaction (the “Pfizer Investment”), agreed to issue and sell to Pfizer 4,690,431 shares of our common stock, par value $0.0001 per share, at a purchase price of $5.33 per share, for aggregate gross proceeds of approximately $25.0 million. The issuance and sale of the shares to Pfizer closed on June 30, 2023. We granted certain registration rights to Pfizer under the Securities Purchase Agreement with regard to the resale of the shares. Unless otherwise agreed by Pfizer, we have agreed to use the proceeds from the Pfizer Investment solely in connection with (i) the development program for our allogeneic anti-BCMA CAR-T cell therapy known as CB-011 product candidate that is being evaluated in the CaMMouflage clinical trial and/or (ii) any other single-targeted anti-BCMA CAR-T cell therapy using an anti-BCMA single-chain variable fragment owned or controlled by us (collectively, cell therapies described in clauses (i) and (ii) are referred to as a “BCMA Product Candidate”), for 36 months beginning on June 29, 2023.</w:t>
      </w:r>
    </w:p>
    <w:p>
      <w:pPr>
        <w:spacing w:after="0" w:line="1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June 29, 2023, in connection with the Pfizer Investment, we and Pfizer also entered into an Information Rights Agreement (the “Information Rights Agreement ”), having a thirty-six (36)-month term. Under the Information Rights Agreement, we granted Pfizer a thirty (30)-calendar day right of first negotiation (“ROFN”) if we commence or engage with any third party with respect to a potential grant of rights to develop and/or commercialize a BCMA Product Candidate, including, without limitation, a license agreement, a co-promotion/co-commercialization agreement, a profit share agreement, a joint venture agreement, or an asset sale agreement (a “Grant of Program Rights”). If we and Pfizer do not reach an agreement with respect to a Grant of Program Rights within the 30-day period, then we may pursue negotiations and enter into an agreement with any third party. In the event that we and such third party do not reach agreement on the Grant of Program Rights within a specified time period, Pfizer’s right of first negotiation would be reinstated. Under the Information Rights Agreement, we also agreed to grant Pfizer the right to designate one representative to serve on our scientific advisory board. Through an information sharing committee, we will provide calendar quarter updates to Pfizer regarding the development program for a BCMA Product Candidate. Additionally, we agreed to provide Pfizer access to any preclinical or interim or final clinical data (including raw data) and results generated as part of the development program for a BCMA Product Candidate at the same time that we provide such data to a third party (other than to our service providers or the FDA or other regulatory authorities), subject to certain confidentiality exceptions.</w:t>
      </w:r>
    </w:p>
    <w:p>
      <w:pPr>
        <w:spacing w:after="0" w:line="14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June 29, 2023, we and Pfizer also entered into a Voting Agreement, pursuant to which, for a period of 12 months, Pfizer agreed to cause our voting securities that Pfizer beneficially owns (within the meaning of Rules 13d-3 or 13d-5 under the Securities Exchange Act of 1934, as amended (the “Exchange Act”)) in excess of 4.99% of our then issued and outstanding voting securities to be voted (i) with respect to any matter directly relating to remuneration of directors,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directors’ insurance, or indemnification or release from liability of directors, in a manner proportionally consistent with the votes properly cast for and against by holders of voting securities not beneficially owned by Pfizer, and (ii) with respect to any other matter in which Pfizer shall have the right to vote such voting securities, in accordance with the recommendation of our board of directors or any applicable committee thereof.</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Our primary use of cash is to fund operating expenses and research and development expenditures. Cash used to fund operating expenses is impacted by the timing of when we pay these expenses, as reflected in the change in our outstanding accounts payable, accrued expenses, and prepaid expenses.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17" w:lineRule="exact"/>
        <w:rPr>
          <w:sz w:val="20"/>
          <w:szCs w:val="20"/>
          <w:color w:val="auto"/>
        </w:rPr>
      </w:pPr>
    </w:p>
    <w:p>
      <w:pPr>
        <w:ind w:left="1620" w:hanging="47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that we develop;</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the number of our employees and expansion of our physical facilities to support growth initiatives;</w:t>
      </w:r>
    </w:p>
    <w:p>
      <w:pPr>
        <w:spacing w:after="0" w:line="117" w:lineRule="exact"/>
        <w:rPr>
          <w:rFonts w:ascii="Arial" w:cs="Arial" w:eastAsia="Arial" w:hAnsi="Arial"/>
          <w:sz w:val="18"/>
          <w:szCs w:val="18"/>
          <w:color w:val="auto"/>
        </w:rPr>
      </w:pPr>
    </w:p>
    <w:p>
      <w:pPr>
        <w:ind w:left="1620" w:right="160" w:hanging="47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and other comparable foreign regulatory authorities;</w:t>
      </w:r>
    </w:p>
    <w:p>
      <w:pPr>
        <w:spacing w:after="0" w:line="62" w:lineRule="exact"/>
        <w:rPr>
          <w:rFonts w:ascii="Arial" w:cs="Arial" w:eastAsia="Arial" w:hAnsi="Arial"/>
          <w:sz w:val="18"/>
          <w:szCs w:val="18"/>
          <w:color w:val="auto"/>
        </w:rPr>
      </w:pPr>
    </w:p>
    <w:p>
      <w:pPr>
        <w:ind w:left="1620" w:hanging="47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enter into any additional collaboration agreements and the terms of any such agreements;</w:t>
      </w:r>
    </w:p>
    <w:p>
      <w:pPr>
        <w:spacing w:after="0" w:line="117" w:lineRule="exact"/>
        <w:rPr>
          <w:rFonts w:ascii="Arial" w:cs="Arial" w:eastAsia="Arial" w:hAnsi="Arial"/>
          <w:sz w:val="18"/>
          <w:szCs w:val="18"/>
          <w:color w:val="auto"/>
        </w:rPr>
      </w:pPr>
    </w:p>
    <w:p>
      <w:pPr>
        <w:ind w:left="1620" w:right="140" w:hanging="47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filing and prosecuting our patent applications, and maintaining and enforcing our patents and other intellectual property rights;</w:t>
      </w:r>
    </w:p>
    <w:p>
      <w:pPr>
        <w:spacing w:after="0" w:line="62" w:lineRule="exact"/>
        <w:rPr>
          <w:rFonts w:ascii="Arial" w:cs="Arial" w:eastAsia="Arial" w:hAnsi="Arial"/>
          <w:sz w:val="18"/>
          <w:szCs w:val="18"/>
          <w:color w:val="auto"/>
        </w:rPr>
      </w:pPr>
    </w:p>
    <w:p>
      <w:pPr>
        <w:ind w:left="1620" w:hanging="47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1620" w:right="540" w:hanging="47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our products after we receive regulatory approval;</w:t>
      </w:r>
    </w:p>
    <w:p>
      <w:pPr>
        <w:spacing w:after="0" w:line="62" w:lineRule="exact"/>
        <w:rPr>
          <w:rFonts w:ascii="Arial" w:cs="Arial" w:eastAsia="Arial" w:hAnsi="Arial"/>
          <w:sz w:val="18"/>
          <w:szCs w:val="18"/>
          <w:color w:val="auto"/>
        </w:rPr>
      </w:pPr>
    </w:p>
    <w:p>
      <w:pPr>
        <w:ind w:left="1620" w:hanging="47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620" w:right="140" w:hanging="47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 or the cost and timing of completion of clinical-scale and commercial-scale internal manufacturing activities;</w:t>
      </w:r>
    </w:p>
    <w:p>
      <w:pPr>
        <w:spacing w:after="0" w:line="62" w:lineRule="exact"/>
        <w:rPr>
          <w:rFonts w:ascii="Arial" w:cs="Arial" w:eastAsia="Arial" w:hAnsi="Arial"/>
          <w:sz w:val="18"/>
          <w:szCs w:val="18"/>
          <w:color w:val="auto"/>
        </w:rPr>
      </w:pPr>
    </w:p>
    <w:p>
      <w:pPr>
        <w:ind w:left="1620" w:right="720" w:hanging="47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without a partner;</w:t>
      </w:r>
    </w:p>
    <w:p>
      <w:pPr>
        <w:spacing w:after="0" w:line="62" w:lineRule="exact"/>
        <w:rPr>
          <w:rFonts w:ascii="Arial" w:cs="Arial" w:eastAsia="Arial" w:hAnsi="Arial"/>
          <w:sz w:val="18"/>
          <w:szCs w:val="18"/>
          <w:color w:val="auto"/>
        </w:rPr>
      </w:pPr>
    </w:p>
    <w:p>
      <w:pPr>
        <w:ind w:left="1620" w:right="440" w:hanging="47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62" w:lineRule="exact"/>
        <w:rPr>
          <w:rFonts w:ascii="Arial" w:cs="Arial" w:eastAsia="Arial" w:hAnsi="Arial"/>
          <w:sz w:val="18"/>
          <w:szCs w:val="18"/>
          <w:color w:val="auto"/>
        </w:rPr>
      </w:pPr>
    </w:p>
    <w:p>
      <w:pPr>
        <w:ind w:left="1620" w:right="840" w:hanging="47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by or to third parties under any collaboration or licensing agreements;</w:t>
      </w:r>
    </w:p>
    <w:p>
      <w:pPr>
        <w:spacing w:after="0" w:line="62" w:lineRule="exact"/>
        <w:rPr>
          <w:rFonts w:ascii="Arial" w:cs="Arial" w:eastAsia="Arial" w:hAnsi="Arial"/>
          <w:sz w:val="18"/>
          <w:szCs w:val="18"/>
          <w:color w:val="auto"/>
        </w:rPr>
      </w:pPr>
    </w:p>
    <w:p>
      <w:pPr>
        <w:ind w:left="1620" w:hanging="47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implementation of various computerized informational systems and efforts to enhance operational systems;</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impact of the COVID-19 pandemic or other public health crises or geopolitical events on our clinical development or operations;</w:t>
      </w:r>
    </w:p>
    <w:p>
      <w:pPr>
        <w:spacing w:after="0" w:line="140" w:lineRule="exact"/>
        <w:rPr>
          <w:rFonts w:ascii="Arial" w:cs="Arial" w:eastAsia="Arial" w:hAnsi="Arial"/>
          <w:sz w:val="16"/>
          <w:szCs w:val="16"/>
          <w:color w:val="auto"/>
        </w:rPr>
      </w:pPr>
    </w:p>
    <w:p>
      <w:pPr>
        <w:ind w:left="1620" w:hanging="47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inflationary pressures on the cost of our operations; and</w:t>
      </w:r>
    </w:p>
    <w:p>
      <w:pPr>
        <w:spacing w:after="0" w:line="117" w:lineRule="exact"/>
        <w:rPr>
          <w:rFonts w:ascii="Arial" w:cs="Arial" w:eastAsia="Arial" w:hAnsi="Arial"/>
          <w:sz w:val="18"/>
          <w:szCs w:val="18"/>
          <w:color w:val="auto"/>
        </w:rPr>
      </w:pPr>
    </w:p>
    <w:p>
      <w:pPr>
        <w:ind w:left="1620" w:hanging="47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9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Furthermore, our operating plans may change, and we expect to need additional funds to meet operational needs and capital requirements for clinical trials and other research and development expenditures.</w:t>
      </w:r>
    </w:p>
    <w:p>
      <w:pPr>
        <w:spacing w:after="0" w:line="13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Because of the numerous risks and uncertainties associated with the development of human therapeutics, we may never achieve profitability and, unless and until we are able to develop and commercialize our product candidates, we will</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need to continue to raise additional capital; however, funding may not be available to us on acceptable terms, or at all. If we are unable to obtain adequate financing when needed, we may have to delay, reduce the scope of, or suspend one or more of our preclinical studies, clinical trials, research and development programs, and/or commercialization efforts. We may seek to raise any necessary additional capital through a combination of equity offerings (including our at-the-market equity offering program), debt financings, collaborations and strategic alliances, licensing arrangements, or other sources. If we raise additional capital through debt financing, we may be subject to covenants limiting or restricting our ability to take specific actions, such as incurring additional debt, making capital expenditures, or declaring dividends. If we raise additional capital through the sale of equity or convertible debt securities, the issuance of these securities could result in dilution to our stockholders. If we raise additional capital through marketing and distribution arrangements or other collaborations, strategic alliances, or licensing arrangements with third parties or other sources, we may have to relinquish certain valuable rights to our product candidates, technologies, future revenue streams, or research programs or grant licenses on terms that may not be favorable to 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r>
      <w:tr>
        <w:trPr>
          <w:trHeight w:val="190"/>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(in thousands)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
        </w:trPr>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(43,546)</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(86,080)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117,847</w:t>
            </w:r>
          </w:p>
        </w:tc>
      </w:tr>
      <w:tr>
        <w:trPr>
          <w:trHeight w:val="24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17,861</w:t>
            </w:r>
          </w:p>
        </w:tc>
      </w:tr>
      <w:tr>
        <w:trPr>
          <w:trHeight w:val="230"/>
        </w:trPr>
        <w:tc>
          <w:tcPr>
            <w:tcW w:w="6560" w:type="dxa"/>
            <w:vAlign w:val="bottom"/>
          </w:tcPr>
          <w:p>
            <w:pPr>
              <w:ind w:left="1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(128,274)</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136,130</w:t>
            </w:r>
          </w:p>
        </w:tc>
      </w:tr>
      <w:tr>
        <w:trPr>
          <w:trHeight w:val="27"/>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used in operating activities was $43.1 million and $43.5 million for the six months ended June 30, 2023, and 2022, respectively.</w:t>
      </w:r>
    </w:p>
    <w:p>
      <w:pPr>
        <w:spacing w:after="0" w:line="19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Cash used in operating activities for the six months ended June 30, 2023, was primarily due to our net loss of $57.6 million, adjusted by non-cash charges of $4.7 million and net changes in our operating assets and liabilities of $9.7 million. Our non-cash charges were primarily comprised of $6.7 million of stock-based compensation, $1.2 million of depreciation and amortization expense, and non-cash lease expense of $1.0 million, which were partially offset by amortization of investment premiums of $3.6 million, and change in the fair value of the MSKCC success payments liability of $0.5 million. The changes in our operating assets and liabilities were due to decreases in prepaid expenses and other current assets of $2.4 million, contract assets of $0.8 million, and other receivables of $0.7 million, and an increase of $5.2 million in deferred revenue (including $7.5 million related to the Pfizer transaction), and $2.0 million in accounts payable, partially offset by increases of $0.6 million in accounts receivable, and decreases of $0.5 million in operating lease liabilities, and $0.4 million in accrued expenses and other current liabilities.</w:t>
      </w:r>
    </w:p>
    <w:p>
      <w:pPr>
        <w:spacing w:after="0" w:line="15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Cash used in operating activities in the six months ended June 30, 2022, was primarily due to our net loss of $45.8 million, adjusted by non-cash charges of $5.6 million and net changes in our operating assets and liabilities of $3.4 million. Our non-cash charges were primarily comprised of $5.9 million of stock-based compensation, non-cash lease expense of $1.0 million, $0.7 million of depreciation and amortization expense, amortization of investment premiums of $0.4 million, and acquired in-process research and development of $0.3 million, which were partially offset by the change in the fair value of the MSKCC success payments liability of $2.6 million. The changes in our operating assets and liabilities were due to decreases of $0.6 million in accounts receivable and $2.4 million in other receivables, and an increase of $1.1 million in accrued expenses and other current liabilities, offset by increases in contract assets of $0.6 million, prepaid expenses and other current assets of $0.3 million, other assets of $0.3 million, and decreases of $3.6 million in accounts payable, $2.5 million in deferred revenue, and $0.2 million in operating lease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six months ended June 30, 2023, cash provided by investing activities was $31.8 million, and during the six months ended June 30, 2022, cash used in investing activities was $86.1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Cash provided by investing activities for the six months ended June 30, 2023, was primarily due to proceeds from the sales and maturities of marketable securities of $171.0 million, partially offset by purchases of marketable securities of $134.7 million and property and equipment of $4.6 million.</w:t>
      </w:r>
    </w:p>
    <w:p>
      <w:pPr>
        <w:spacing w:after="0" w:line="15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Cash used in investing activities for the six months ended June 30, 2022, was primarily due to purchases of marketable securities of $181.8 million and property and equipment of $3.3 million, partially offset by the proceeds from maturities of marketable securities of $99.0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six months ended June 30, 2023, and 2022, cash provided by financing activities was $19.2 million and $1.4 million, respectively.</w:t>
      </w:r>
    </w:p>
    <w:p>
      <w:pPr>
        <w:spacing w:after="0" w:line="210"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Cash provided by financing activities for the six months ended June 30, 2023, was primarily due to $17.5 million of gross proceeds allocated to the issuance of common stock in a private placement transaction with Pfizer, net proceeds from our at-the-market equity offering program of $1.0 million, and the exercise of stock options and purchases of common stock under the 2021 Employee Stock Purchase Plan (“2021 ESPP”) of $0.8 million.</w:t>
      </w:r>
    </w:p>
    <w:p>
      <w:pPr>
        <w:spacing w:after="0" w:line="10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Cash provided by financing activities for the six months ended June 30, 2022, was due to the exercise of stock options and purchases of common stock under the 2021 ESPP plan of $1.4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jc w:val="both"/>
        <w:ind w:right="380" w:firstLine="648"/>
        <w:spacing w:after="0" w:line="311" w:lineRule="auto"/>
        <w:rPr>
          <w:sz w:val="20"/>
          <w:szCs w:val="20"/>
          <w:color w:val="auto"/>
        </w:rPr>
      </w:pPr>
      <w:r>
        <w:rPr>
          <w:rFonts w:ascii="Arial" w:cs="Arial" w:eastAsia="Arial" w:hAnsi="Arial"/>
          <w:sz w:val="16"/>
          <w:szCs w:val="16"/>
          <w:color w:val="auto"/>
        </w:rPr>
        <w:t>Our critical accounting policies are disclosed in our audited consolidated financial statements for the year ended December 31, 2022, and the related notes included in our Form 10-K. Since the date of such financial statements, there have been no material changes to our significant accounting policies. There have been no material changes to our critical accounting estimates as compared to those disclosed in our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See Note 2 to our unaudited condensed consolidated financial statements included elsewhere in this Form 10-Q for more information regarding recently issued accounting pronouncements.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8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permitted under Delaware General Corporation Law and in accordance with our amended and restated bylaws, we indemnify our executive officers and directors for certain events or occurrences while such officer or director is or was serving in such capacity. We are also party to indemnification agreements with our executive officers, directors, and controller. We believe the fair value of the indemnification rights and agreements is minimal. Accordingly, we have not recorded any liabilities for these indemnification rights and agreements as of June 30,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0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condensed consolidated financial statements may not be comparable to those of companies that comply with the new or revised accounting pronouncements as of public company effective dates.</w:t>
      </w:r>
    </w:p>
    <w:p>
      <w:pPr>
        <w:spacing w:after="0" w:line="15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expect to use the extended transition period for any other new or revised accounting standards during the period in which we remain an emerging growth company.</w:t>
      </w:r>
    </w:p>
    <w:p>
      <w:pPr>
        <w:spacing w:after="0" w:line="130"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There have been no material changes to our market risk during the six months ended June 30, 2023. For a discussion of our exposure to market risk, refer to the section titled “Quantitative and Qualitative Disclosures About Market Risk” in our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w:t>
      </w:r>
    </w:p>
    <w:p>
      <w:pPr>
        <w:spacing w:after="0" w:line="14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June 30, 2023,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principal executive officer and principal financial officer have concluded that, based upon the evaluation described above, as of June 30, 2023, our disclosure controls and procedures were effective.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13a-15(f) or 15d-15(f) under the Exchange Act during the three months ended June 30, 2023,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From time to time, we may become involved in litigation arising in the ordinary course of business. Regardless of the outcome, litigation can have a material adverse effect on us due to defense and settlement costs, diversion of our management resources, and other factors.</w:t>
      </w:r>
    </w:p>
    <w:p>
      <w:pPr>
        <w:spacing w:after="0" w:line="106" w:lineRule="exact"/>
        <w:rPr>
          <w:sz w:val="20"/>
          <w:szCs w:val="20"/>
          <w:color w:val="auto"/>
        </w:rPr>
      </w:pPr>
    </w:p>
    <w:p>
      <w:pPr>
        <w:jc w:val="both"/>
        <w:ind w:right="540" w:firstLine="648"/>
        <w:spacing w:after="0" w:line="286" w:lineRule="auto"/>
        <w:rPr>
          <w:sz w:val="20"/>
          <w:szCs w:val="20"/>
          <w:color w:val="auto"/>
        </w:rPr>
      </w:pPr>
      <w:r>
        <w:rPr>
          <w:rFonts w:ascii="Arial" w:cs="Arial" w:eastAsia="Arial" w:hAnsi="Arial"/>
          <w:sz w:val="17"/>
          <w:szCs w:val="17"/>
          <w:color w:val="auto"/>
        </w:rPr>
        <w:t>On February 10, 2023, a putative class action lawsuit was filed in the U.S. District Court for the Northern District of California against our company and certain of our officers and current and former members of our board of directors, Greenhalgh v. Caribou Biosciences, Inc., et al., Case Number 3:23-cv-00609-VC (the “Greenhalgh Case”). The Greenhalgh Case was voluntarily dismissed on March 16, 2023.</w:t>
      </w:r>
    </w:p>
    <w:p>
      <w:pPr>
        <w:spacing w:after="0" w:line="138"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On April 11, 2023, a putative class action lawsuit was filed in the U.S. District Court for the Northern District of California against our company and certain of our officers and current and former members of our board of directors, Bergman v. Caribou Biosciences, Inc., et al., Case Number 4:23-cv-01742-YGR (the “Bergman Case”). The Bergman complaint challenges disclosures regarding our company’s business, operations, and prospects, specifically with respect to the alleged durability of CB-010’s therapeutic effect and the product candidate’s clinical and commercial prospects, in alleged violation of Sections 11 and 15 of the Securities Act and Sections 10(b) and 20(a) of the Exchange Act.</w:t>
      </w:r>
    </w:p>
    <w:p>
      <w:pPr>
        <w:spacing w:after="0" w:line="13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On March 22, 2023, a putative class action lawsuit was filed in Superior Court of the State of California for the County of Alameda against our company and certain of our officers and current and former members of our board of directors, Lowry v. Caribou Biosciences, Inc., et al., Case Number T23-1084 (the “Lowry Case”). The Lowry Case challenges disclosures regarding our company’s business, operations, and prospects, specifically with respect to the alleged durability of CB-010’s therapeutic effect and the product candidate’s clinical and commercial prospects, in alleged violation of Sections 11 and 15 of the Securities Act. The allegations and claims in the Lowry Case are substantially similar to the Securities Act claims asserted in the Bergman Case. On April 26, 2023, we filed a motion to stay the Lowry Case during the pendency of the parallel federal court litigation in the Bergman Case, and, on July 11, 2023, our motion to stay was denied.</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these lawsuits are without merit.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There have been no material changes to the Risk Factors previously disclosed in Item 1A. to Part I of our Form 10-K. The risks described in our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 for the Three Months Ended June 30, 2023</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unregistered sales of equity securities during the three months ended June 30, 2023, were previously reported on a Current Report on Form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IPO</w:t>
      </w:r>
    </w:p>
    <w:p>
      <w:pPr>
        <w:spacing w:after="0" w:line="19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net proceeds from our IPO, after deducting underwriting discounts and commissions and offering expenses of $28.6 million, were $321.0 million. We are holding a significant portion of the balance of the net proceeds from our IPO in money market mutual funds, U.S. Treasury bills, corporate debt securities, and U.S. government agency bonds. There has been no material change in our planned use of the net proceeds from our IPO described in the final prospectus for our IPO filed on July 23, 2021 with the SEC pursuant to Rule 424(b)(4) of the Securities Act.</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340"/>
        <w:spacing w:after="0"/>
        <w:tabs>
          <w:tab w:leader="none" w:pos="5880"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80"/>
        <w:spacing w:after="0" w:line="277" w:lineRule="auto"/>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Amended and Restated Certificate of Incorporation of Caribou Biosciences, Inc. (incorporated by reference to Exhibit 3.1 to the Current</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Report on Form 8-K filed by the Registrant with the SEC on July 28, 2021)</w:t>
        </w:r>
      </w:hyperlink>
    </w:p>
    <w:p>
      <w:pPr>
        <w:spacing w:after="0" w:line="8" w:lineRule="exact"/>
        <w:rPr>
          <w:sz w:val="20"/>
          <w:szCs w:val="20"/>
          <w:color w:val="auto"/>
        </w:rPr>
      </w:pPr>
    </w:p>
    <w:p>
      <w:pPr>
        <w:spacing w:after="0" w:line="273" w:lineRule="auto"/>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Amended and Restated Bylaws of Caribou Biosciences, Inc. (incorporated by reference to Exhibit 3.2 to the Current Report on Form 8-K</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filed by the Registrant with the SEC on July 28, 2021)</w:t>
        </w:r>
      </w:hyperlink>
    </w:p>
    <w:p>
      <w:pPr>
        <w:spacing w:after="0" w:line="1" w:lineRule="exact"/>
        <w:rPr>
          <w:sz w:val="20"/>
          <w:szCs w:val="20"/>
          <w:color w:val="auto"/>
        </w:rPr>
      </w:pPr>
    </w:p>
    <w:p>
      <w:pPr>
        <w:sectPr>
          <w:pgSz w:w="11900" w:h="16838" w:orient="portrait"/>
          <w:cols w:equalWidth="0" w:num="2">
            <w:col w:w="560" w:space="720"/>
            <w:col w:w="9900"/>
          </w:cols>
          <w:pgMar w:left="320" w:top="125" w:right="399" w:bottom="1440" w:gutter="0" w:footer="0" w:header="0"/>
          <w:type w:val="continuous"/>
        </w:sectPr>
      </w:pPr>
    </w:p>
    <w:tbl>
      <w:tblPr>
        <w:tblLayout w:type="fixed"/>
        <w:tblInd w:w="20" w:type="dxa"/>
        <w:tblCellMar>
          <w:top w:w="0" w:type="dxa"/>
          <w:left w:w="0" w:type="dxa"/>
          <w:bottom w:w="0" w:type="dxa"/>
          <w:right w:w="0" w:type="dxa"/>
        </w:tblCellMar>
      </w:tblPr>
      <w:tr>
        <w:trPr>
          <w:trHeight w:val="205"/>
        </w:trPr>
        <w:tc>
          <w:tcPr>
            <w:tcW w:w="1260" w:type="dxa"/>
            <w:vAlign w:val="bottom"/>
          </w:tcPr>
          <w:p>
            <w:pPr>
              <w:spacing w:after="0" w:line="205" w:lineRule="exact"/>
              <w:rPr>
                <w:sz w:val="20"/>
                <w:szCs w:val="20"/>
                <w:color w:val="auto"/>
              </w:rPr>
            </w:pPr>
            <w:r>
              <w:rPr>
                <w:rFonts w:ascii="Arial" w:cs="Arial" w:eastAsia="Arial" w:hAnsi="Arial"/>
                <w:sz w:val="18"/>
                <w:szCs w:val="18"/>
                <w:color w:val="auto"/>
              </w:rPr>
              <w:t>4.1</w:t>
            </w:r>
          </w:p>
        </w:tc>
        <w:tc>
          <w:tcPr>
            <w:tcW w:w="9620" w:type="dxa"/>
            <w:vAlign w:val="bottom"/>
            <w:tcBorders>
              <w:bottom w:val="single" w:sz="8" w:color="0000FF"/>
            </w:tcBorders>
            <w:gridSpan w:val="7"/>
          </w:tcPr>
          <w:p>
            <w:pPr>
              <w:spacing w:after="0" w:line="205"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Description of Common Stock (incorporated by reference to Exhibit 4.1 to the Form 10-K filed by the Registrant on March 21, 2022)</w:t>
              </w:r>
            </w:hyperlink>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tcBorders>
              <w:bottom w:val="single" w:sz="8" w:color="0000FF"/>
            </w:tcBorders>
            <w:gridSpan w:val="11"/>
          </w:tcPr>
          <w:p>
            <w:pPr>
              <w:spacing w:after="0"/>
              <w:rPr>
                <w:rFonts w:ascii="Arial" w:cs="Arial" w:eastAsia="Arial" w:hAnsi="Arial"/>
                <w:sz w:val="18"/>
                <w:szCs w:val="18"/>
                <w:color w:val="0000FF"/>
                <w:w w:val="89"/>
              </w:rPr>
            </w:pPr>
            <w:hyperlink r:id="rId67">
              <w:r>
                <w:rPr>
                  <w:rFonts w:ascii="Arial" w:cs="Arial" w:eastAsia="Arial" w:hAnsi="Arial"/>
                  <w:sz w:val="18"/>
                  <w:szCs w:val="18"/>
                  <w:color w:val="0000FF"/>
                  <w:w w:val="89"/>
                </w:rPr>
                <w:t>Securities Purchase Agreement, dated June 29, 2023, by and between the Registrant and Pfizer, Inc. (incorporated by reference to Exhibit</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54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Form 8-K filed by the Registrant with the SEC on July 6, 2023)</w:t>
              </w:r>
            </w:hyperlink>
          </w:p>
        </w:tc>
        <w:tc>
          <w:tcPr>
            <w:tcW w:w="45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9800" w:type="dxa"/>
            <w:vAlign w:val="bottom"/>
            <w:tcBorders>
              <w:bottom w:val="single" w:sz="8" w:color="0000FF"/>
            </w:tcBorders>
            <w:gridSpan w:val="10"/>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Voting Agreement, dated June 29. 2023, by and between the Registrant and Pfizer, Inc. (incorporated by reference to Exhibit 10.2 to the</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900" w:type="dxa"/>
            <w:vAlign w:val="bottom"/>
            <w:gridSpan w:val="11"/>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Form 8-K filed by the Registrant with the SEC on July 6, 2023)</w:t>
              </w:r>
            </w:hyperlink>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13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vMerge w:val="continue"/>
          </w:tcPr>
          <w:p>
            <w:pPr>
              <w:spacing w:after="0"/>
              <w:rPr>
                <w:sz w:val="21"/>
                <w:szCs w:val="21"/>
                <w:color w:val="auto"/>
              </w:rPr>
            </w:pPr>
          </w:p>
        </w:tc>
        <w:tc>
          <w:tcPr>
            <w:tcW w:w="97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Certification of Principal Executive Officer Pursuant to Rules 13a-14(a) and 15d-14(a) under the Exchange Act, as Adopted Pursuant to</w:t>
            </w: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4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Section 302 of the Sarbanes-Oxley Act of 2002.</w:t>
            </w:r>
          </w:p>
        </w:tc>
        <w:tc>
          <w:tcPr>
            <w:tcW w:w="6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gridSpan w:val="11"/>
          </w:tcPr>
          <w:p>
            <w:pPr>
              <w:spacing w:after="0"/>
              <w:rPr>
                <w:sz w:val="20"/>
                <w:szCs w:val="20"/>
                <w:color w:val="auto"/>
              </w:rPr>
            </w:pPr>
            <w:r>
              <w:rPr>
                <w:rFonts w:ascii="Arial" w:cs="Arial" w:eastAsia="Arial" w:hAnsi="Arial"/>
                <w:sz w:val="18"/>
                <w:szCs w:val="18"/>
                <w:color w:val="0000FF"/>
                <w:w w:val="92"/>
              </w:rPr>
              <w:t>Certification of Principal Financial Officer Pursuant to Rules 13a-14(a) and 15d-14(a) under the Exchange Act, as Adopted Pursuant to</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Section 302 of the Sarbanes-Oxley Act of 2002.</w:t>
            </w:r>
          </w:p>
        </w:tc>
        <w:tc>
          <w:tcPr>
            <w:tcW w:w="6260" w:type="dxa"/>
            <w:vAlign w:val="bottom"/>
            <w:tcBorders>
              <w:top w:val="single" w:sz="8" w:color="0000FF"/>
            </w:tcBorders>
            <w:gridSpan w:val="6"/>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00" w:type="dxa"/>
            <w:vAlign w:val="bottom"/>
            <w:gridSpan w:val="11"/>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600" w:type="dxa"/>
            <w:vAlign w:val="bottom"/>
            <w:tcBorders>
              <w:top w:val="single" w:sz="8" w:color="0000FF"/>
            </w:tcBorders>
            <w:gridSpan w:val="6"/>
          </w:tcPr>
          <w:p>
            <w:pPr>
              <w:spacing w:after="0" w:line="196" w:lineRule="exact"/>
              <w:rPr>
                <w:sz w:val="20"/>
                <w:szCs w:val="20"/>
                <w:color w:val="auto"/>
              </w:rPr>
            </w:pPr>
            <w:r>
              <w:rPr>
                <w:rFonts w:ascii="Arial" w:cs="Arial" w:eastAsia="Arial" w:hAnsi="Arial"/>
                <w:sz w:val="18"/>
                <w:szCs w:val="18"/>
                <w:color w:val="0000FF"/>
              </w:rPr>
              <w:t>Oxley Act of 2002.</w:t>
            </w:r>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1380" w:type="dxa"/>
            <w:vAlign w:val="bottom"/>
            <w:shd w:val="clear" w:color="auto" w:fill="0000FF"/>
          </w:tcPr>
          <w:p>
            <w:pPr>
              <w:spacing w:after="0" w:line="20" w:lineRule="exact"/>
              <w:rPr>
                <w:sz w:val="1"/>
                <w:szCs w:val="1"/>
                <w:color w:val="auto"/>
              </w:rPr>
            </w:pPr>
          </w:p>
        </w:tc>
        <w:tc>
          <w:tcPr>
            <w:tcW w:w="818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vMerge w:val="continue"/>
          </w:tcPr>
          <w:p>
            <w:pPr>
              <w:spacing w:after="0"/>
              <w:rPr>
                <w:sz w:val="21"/>
                <w:szCs w:val="21"/>
                <w:color w:val="auto"/>
              </w:rPr>
            </w:pPr>
          </w:p>
        </w:tc>
        <w:tc>
          <w:tcPr>
            <w:tcW w:w="95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Certification of Principal Financial Officer Pursuant to 18 U.S.C. Section 1350, as Adopted Pursuant to Section 906 of the Sarbanes-</w:t>
            </w:r>
          </w:p>
        </w:tc>
        <w:tc>
          <w:tcPr>
            <w:tcW w:w="3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900" w:type="dxa"/>
            <w:vAlign w:val="bottom"/>
            <w:gridSpan w:val="11"/>
          </w:tcPr>
          <w:p>
            <w:pPr>
              <w:spacing w:after="0" w:line="196" w:lineRule="exact"/>
              <w:rPr>
                <w:sz w:val="20"/>
                <w:szCs w:val="20"/>
                <w:color w:val="auto"/>
              </w:rPr>
            </w:pPr>
            <w:r>
              <w:rPr>
                <w:rFonts w:ascii="Arial" w:cs="Arial" w:eastAsia="Arial" w:hAnsi="Arial"/>
                <w:sz w:val="18"/>
                <w:szCs w:val="18"/>
                <w:color w:val="0000FF"/>
              </w:rPr>
              <w:t>Oxley Act of 2002.</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1380" w:type="dxa"/>
            <w:vAlign w:val="bottom"/>
            <w:shd w:val="clear" w:color="auto" w:fill="0000FF"/>
          </w:tcPr>
          <w:p>
            <w:pPr>
              <w:spacing w:after="0" w:line="20" w:lineRule="exact"/>
              <w:rPr>
                <w:sz w:val="1"/>
                <w:szCs w:val="1"/>
                <w:color w:val="auto"/>
              </w:rPr>
            </w:pPr>
          </w:p>
        </w:tc>
        <w:tc>
          <w:tcPr>
            <w:tcW w:w="85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260" w:type="dxa"/>
            <w:vAlign w:val="bottom"/>
            <w:vMerge w:val="continue"/>
          </w:tcPr>
          <w:p>
            <w:pPr>
              <w:spacing w:after="0"/>
              <w:rPr>
                <w:sz w:val="24"/>
                <w:szCs w:val="24"/>
                <w:color w:val="auto"/>
              </w:rPr>
            </w:pPr>
          </w:p>
        </w:tc>
        <w:tc>
          <w:tcPr>
            <w:tcW w:w="9900" w:type="dxa"/>
            <w:vAlign w:val="bottom"/>
            <w:gridSpan w:val="11"/>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900" w:type="dxa"/>
            <w:vAlign w:val="bottom"/>
            <w:gridSpan w:val="11"/>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9900" w:type="dxa"/>
            <w:vAlign w:val="bottom"/>
            <w:gridSpan w:val="11"/>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w:t>
      </w:r>
    </w:p>
    <w:p>
      <w:pPr>
        <w:spacing w:after="0" w:line="18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Caribou Biosciences, Inc.</w:t>
      </w:r>
    </w:p>
    <w:p>
      <w:pPr>
        <w:spacing w:after="0" w:line="306" w:lineRule="exact"/>
        <w:rPr>
          <w:sz w:val="20"/>
          <w:szCs w:val="20"/>
          <w:color w:val="auto"/>
        </w:rPr>
      </w:pPr>
    </w:p>
    <w:p>
      <w:pPr>
        <w:ind w:left="20"/>
        <w:spacing w:after="0"/>
        <w:tabs>
          <w:tab w:leader="none" w:pos="5700" w:val="left"/>
          <w:tab w:leader="none" w:pos="622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23495</wp:posOffset>
            </wp:positionV>
            <wp:extent cx="32150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9"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Rachel E. Haurwitz</w:t>
      </w:r>
    </w:p>
    <w:p>
      <w:pPr>
        <w:spacing w:after="0" w:line="16"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20"/>
        <w:spacing w:after="0"/>
        <w:tabs>
          <w:tab w:leader="none" w:pos="5700" w:val="left"/>
          <w:tab w:leader="none" w:pos="622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V. O'Byrne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23495</wp:posOffset>
            </wp:positionV>
            <wp:extent cx="32150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26"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Jason V. O’Byrne</w:t>
      </w:r>
    </w:p>
    <w:p>
      <w:pPr>
        <w:spacing w:after="0" w:line="50"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Chief Financial Officer</w:t>
      </w:r>
    </w:p>
    <w:p>
      <w:pPr>
        <w:spacing w:after="0" w:line="1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60"/>
          </w:cols>
          <w:pgMar w:left="320" w:top="125" w:right="7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Rachel E. Haurwitz,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Caribou Biosciences,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6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120" w:val="left"/>
          <w:tab w:leader="none" w:pos="660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23495</wp:posOffset>
            </wp:positionV>
            <wp:extent cx="29489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6"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Rachel E. Haurwitz</w:t>
      </w:r>
    </w:p>
    <w:p>
      <w:pPr>
        <w:spacing w:after="0" w:line="36"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039"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V. O’Byrne,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Caribou Biosciences,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6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120" w:val="left"/>
          <w:tab w:leader="none" w:pos="66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V. O’Byrne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23495</wp:posOffset>
            </wp:positionV>
            <wp:extent cx="29489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6"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Jason V. O’Byrne</w:t>
      </w:r>
    </w:p>
    <w:p>
      <w:pPr>
        <w:spacing w:after="0" w:line="36"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39"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 connection with the Quarterly Report of Caribou Biosciences, Inc. (the “Company”) on Form 10-Q for the period ended June 30,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ind w:left="20"/>
        <w:spacing w:after="0"/>
        <w:tabs>
          <w:tab w:leader="none" w:pos="6120" w:val="left"/>
          <w:tab w:leader="none" w:pos="66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23495</wp:posOffset>
            </wp:positionV>
            <wp:extent cx="29489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6"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Rachel E. Haurwitz</w:t>
      </w:r>
    </w:p>
    <w:p>
      <w:pPr>
        <w:spacing w:after="0" w:line="36"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039"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 connection with the Quarterly Report of Caribou Biosciences, Inc. (the “Company”) on Form 10-Q for the period ended June 30,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ind w:left="20"/>
        <w:spacing w:after="0"/>
        <w:tabs>
          <w:tab w:leader="none" w:pos="6120" w:val="left"/>
          <w:tab w:leader="none" w:pos="660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V. O’Byrne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23495</wp:posOffset>
            </wp:positionV>
            <wp:extent cx="29489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6"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Jason V. O’Byrne</w:t>
      </w:r>
    </w:p>
    <w:p>
      <w:pPr>
        <w:spacing w:after="0" w:line="36"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64" Type="http://schemas.openxmlformats.org/officeDocument/2006/relationships/hyperlink" Target="https://www.sec.gov/Archives/edgar/data/1619856/000119312521227378/d189230dex31.htm" TargetMode="External"/><Relationship Id="rId65" Type="http://schemas.openxmlformats.org/officeDocument/2006/relationships/hyperlink" Target="https://www.sec.gov/Archives/edgar/data/1619856/000119312521227378/d189230dex32.htm" TargetMode="External"/><Relationship Id="rId66" Type="http://schemas.openxmlformats.org/officeDocument/2006/relationships/hyperlink" Target="https://www.sec.gov/Archives/edgar/data/1619856/000095017022004233/crbu-ex4_1.htm" TargetMode="External"/><Relationship Id="rId67" Type="http://schemas.openxmlformats.org/officeDocument/2006/relationships/hyperlink" Target="https://www.sec.gov/Archives/edgar/data/1619856/000161985623000079/crbu-securitiespurchaseagr.htm" TargetMode="External"/><Relationship Id="rId68" Type="http://schemas.openxmlformats.org/officeDocument/2006/relationships/hyperlink" Target="https://www.sec.gov/Archives/edgar/data/1619856/000161985623000079/crbu-votingagreementxex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2023-08-08T15:22:45Z</dcterms:created>
  <dcterms:modified xsi:type="dcterms:W3CDTF">2023-08-08T15:22:45Z</dcterms:modified>
</cp:coreProperties>
</file>