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5"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860425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886460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 w:lineRule="exact"/>
        <w:rPr>
          <w:sz w:val="24"/>
          <w:szCs w:val="24"/>
          <w:color w:val="auto"/>
        </w:rPr>
      </w:pPr>
    </w:p>
    <w:p>
      <w:pPr>
        <w:ind w:left="3820"/>
        <w:spacing w:after="0"/>
        <w:rPr>
          <w:sz w:val="20"/>
          <w:szCs w:val="20"/>
          <w:color w:val="auto"/>
        </w:rPr>
      </w:pPr>
      <w:r>
        <w:rPr>
          <w:rFonts w:ascii="Times New Roman" w:cs="Times New Roman" w:eastAsia="Times New Roman" w:hAnsi="Times New Roman"/>
          <w:sz w:val="18"/>
          <w:szCs w:val="18"/>
          <w:color w:val="auto"/>
        </w:rPr>
        <w:t>________________________________________</w:t>
      </w:r>
    </w:p>
    <w:p>
      <w:pPr>
        <w:spacing w:after="0" w:line="1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59" w:lineRule="exact"/>
        <w:rPr>
          <w:sz w:val="24"/>
          <w:szCs w:val="24"/>
          <w:color w:val="auto"/>
        </w:rPr>
      </w:pPr>
    </w:p>
    <w:p>
      <w:pPr>
        <w:ind w:left="3820"/>
        <w:spacing w:after="0"/>
        <w:rPr>
          <w:sz w:val="20"/>
          <w:szCs w:val="20"/>
          <w:color w:val="auto"/>
        </w:rPr>
      </w:pPr>
      <w:r>
        <w:rPr>
          <w:rFonts w:ascii="Times New Roman" w:cs="Times New Roman" w:eastAsia="Times New Roman" w:hAnsi="Times New Roman"/>
          <w:sz w:val="18"/>
          <w:szCs w:val="18"/>
          <w:color w:val="auto"/>
        </w:rPr>
        <w:t>________________________________________</w:t>
      </w:r>
    </w:p>
    <w:p>
      <w:pPr>
        <w:spacing w:after="0" w:line="16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9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17, 2026</w:t>
      </w:r>
    </w:p>
    <w:p>
      <w:pPr>
        <w:spacing w:after="0" w:line="31" w:lineRule="exact"/>
        <w:rPr>
          <w:sz w:val="24"/>
          <w:szCs w:val="24"/>
          <w:color w:val="auto"/>
        </w:rPr>
      </w:pPr>
    </w:p>
    <w:p>
      <w:pPr>
        <w:ind w:left="3820"/>
        <w:spacing w:after="0"/>
        <w:rPr>
          <w:sz w:val="20"/>
          <w:szCs w:val="20"/>
          <w:color w:val="auto"/>
        </w:rPr>
      </w:pPr>
      <w:r>
        <w:rPr>
          <w:rFonts w:ascii="Times New Roman" w:cs="Times New Roman" w:eastAsia="Times New Roman" w:hAnsi="Times New Roman"/>
          <w:sz w:val="18"/>
          <w:szCs w:val="18"/>
          <w:color w:val="auto"/>
        </w:rPr>
        <w:t>________________________________________</w:t>
      </w:r>
    </w:p>
    <w:p>
      <w:pPr>
        <w:spacing w:after="0" w:line="16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Caribou Biosciences, Inc.</w:t>
      </w:r>
    </w:p>
    <w:p>
      <w:pPr>
        <w:spacing w:after="0" w:line="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11" w:lineRule="exact"/>
        <w:rPr>
          <w:sz w:val="24"/>
          <w:szCs w:val="24"/>
          <w:color w:val="auto"/>
        </w:rPr>
      </w:pPr>
    </w:p>
    <w:p>
      <w:pPr>
        <w:ind w:left="3820"/>
        <w:spacing w:after="0"/>
        <w:rPr>
          <w:sz w:val="20"/>
          <w:szCs w:val="20"/>
          <w:color w:val="auto"/>
        </w:rPr>
      </w:pPr>
      <w:r>
        <w:rPr>
          <w:rFonts w:ascii="Times New Roman" w:cs="Times New Roman" w:eastAsia="Times New Roman" w:hAnsi="Times New Roman"/>
          <w:sz w:val="18"/>
          <w:szCs w:val="18"/>
          <w:color w:val="auto"/>
        </w:rPr>
        <w:t>________________________________________</w:t>
      </w:r>
    </w:p>
    <w:p>
      <w:pPr>
        <w:spacing w:after="0" w:line="213" w:lineRule="exact"/>
        <w:rPr>
          <w:sz w:val="24"/>
          <w:szCs w:val="24"/>
          <w:color w:val="auto"/>
        </w:rPr>
      </w:pPr>
    </w:p>
    <w:tbl>
      <w:tblPr>
        <w:tblLayout w:type="fixed"/>
        <w:tblInd w:w="640" w:type="dxa"/>
        <w:tblCellMar>
          <w:top w:w="0" w:type="dxa"/>
          <w:left w:w="0" w:type="dxa"/>
          <w:bottom w:w="0" w:type="dxa"/>
          <w:right w:w="0" w:type="dxa"/>
        </w:tblCellMar>
      </w:tblPr>
      <w:tr>
        <w:trPr>
          <w:trHeight w:val="238"/>
        </w:trPr>
        <w:tc>
          <w:tcPr>
            <w:tcW w:w="3300" w:type="dxa"/>
            <w:vAlign w:val="bottom"/>
          </w:tcPr>
          <w:p>
            <w:pPr>
              <w:jc w:val="center"/>
              <w:ind w:right="759"/>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680" w:type="dxa"/>
            <w:vAlign w:val="bottom"/>
          </w:tcPr>
          <w:p>
            <w:pPr>
              <w:jc w:val="right"/>
              <w:ind w:right="1539"/>
              <w:spacing w:after="0"/>
              <w:rPr>
                <w:sz w:val="20"/>
                <w:szCs w:val="20"/>
                <w:color w:val="auto"/>
              </w:rPr>
            </w:pPr>
            <w:r>
              <w:rPr>
                <w:rFonts w:ascii="Times New Roman" w:cs="Times New Roman" w:eastAsia="Times New Roman" w:hAnsi="Times New Roman"/>
                <w:sz w:val="18"/>
                <w:szCs w:val="18"/>
                <w:b w:val="1"/>
                <w:bCs w:val="1"/>
                <w:color w:val="auto"/>
              </w:rPr>
              <w:t>001-40631</w:t>
            </w:r>
          </w:p>
        </w:tc>
        <w:tc>
          <w:tcPr>
            <w:tcW w:w="2300" w:type="dxa"/>
            <w:vAlign w:val="bottom"/>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45-3728228</w:t>
            </w:r>
          </w:p>
        </w:tc>
      </w:tr>
      <w:tr>
        <w:trPr>
          <w:trHeight w:val="178"/>
        </w:trPr>
        <w:tc>
          <w:tcPr>
            <w:tcW w:w="3300" w:type="dxa"/>
            <w:vAlign w:val="bottom"/>
          </w:tcPr>
          <w:p>
            <w:pPr>
              <w:jc w:val="center"/>
              <w:ind w:right="759"/>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3680" w:type="dxa"/>
            <w:vAlign w:val="bottom"/>
          </w:tcPr>
          <w:p>
            <w:pPr>
              <w:jc w:val="center"/>
              <w:ind w:right="259"/>
              <w:spacing w:after="0"/>
              <w:rPr>
                <w:sz w:val="20"/>
                <w:szCs w:val="20"/>
                <w:color w:val="auto"/>
              </w:rPr>
            </w:pPr>
            <w:r>
              <w:rPr>
                <w:rFonts w:ascii="Times New Roman" w:cs="Times New Roman" w:eastAsia="Times New Roman" w:hAnsi="Times New Roman"/>
                <w:sz w:val="14"/>
                <w:szCs w:val="14"/>
                <w:b w:val="1"/>
                <w:bCs w:val="1"/>
                <w:color w:val="auto"/>
              </w:rPr>
              <w:t>(Commission File Number)</w:t>
            </w:r>
          </w:p>
        </w:tc>
        <w:tc>
          <w:tcPr>
            <w:tcW w:w="2300" w:type="dxa"/>
            <w:vAlign w:val="bottom"/>
          </w:tcPr>
          <w:p>
            <w:pPr>
              <w:jc w:val="center"/>
              <w:ind w:left="1101"/>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300" w:type="dxa"/>
            <w:vAlign w:val="bottom"/>
          </w:tcPr>
          <w:p>
            <w:pPr>
              <w:jc w:val="center"/>
              <w:ind w:right="75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3680" w:type="dxa"/>
            <w:vAlign w:val="bottom"/>
          </w:tcPr>
          <w:p>
            <w:pPr>
              <w:spacing w:after="0"/>
              <w:rPr>
                <w:sz w:val="16"/>
                <w:szCs w:val="16"/>
                <w:color w:val="auto"/>
              </w:rPr>
            </w:pPr>
          </w:p>
        </w:tc>
        <w:tc>
          <w:tcPr>
            <w:tcW w:w="2300" w:type="dxa"/>
            <w:vAlign w:val="bottom"/>
          </w:tcPr>
          <w:p>
            <w:pPr>
              <w:jc w:val="center"/>
              <w:ind w:left="110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12"/>
        </w:trPr>
        <w:tc>
          <w:tcPr>
            <w:tcW w:w="3300" w:type="dxa"/>
            <w:vAlign w:val="bottom"/>
          </w:tcPr>
          <w:p>
            <w:pPr>
              <w:jc w:val="center"/>
              <w:ind w:right="759"/>
              <w:spacing w:after="0"/>
              <w:rPr>
                <w:sz w:val="20"/>
                <w:szCs w:val="20"/>
                <w:color w:val="auto"/>
              </w:rPr>
            </w:pPr>
            <w:r>
              <w:rPr>
                <w:rFonts w:ascii="Times New Roman" w:cs="Times New Roman" w:eastAsia="Times New Roman" w:hAnsi="Times New Roman"/>
                <w:sz w:val="18"/>
                <w:szCs w:val="18"/>
                <w:b w:val="1"/>
                <w:bCs w:val="1"/>
                <w:color w:val="auto"/>
                <w:w w:val="99"/>
              </w:rPr>
              <w:t>2929 7th Street, Suite 105</w:t>
            </w:r>
          </w:p>
        </w:tc>
        <w:tc>
          <w:tcPr>
            <w:tcW w:w="368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252"/>
        </w:trPr>
        <w:tc>
          <w:tcPr>
            <w:tcW w:w="3300" w:type="dxa"/>
            <w:vAlign w:val="bottom"/>
          </w:tcPr>
          <w:p>
            <w:pPr>
              <w:jc w:val="center"/>
              <w:ind w:right="759"/>
              <w:spacing w:after="0"/>
              <w:rPr>
                <w:sz w:val="20"/>
                <w:szCs w:val="20"/>
                <w:color w:val="auto"/>
              </w:rPr>
            </w:pPr>
            <w:r>
              <w:rPr>
                <w:rFonts w:ascii="Times New Roman" w:cs="Times New Roman" w:eastAsia="Times New Roman" w:hAnsi="Times New Roman"/>
                <w:sz w:val="18"/>
                <w:szCs w:val="18"/>
                <w:b w:val="1"/>
                <w:bCs w:val="1"/>
                <w:color w:val="auto"/>
                <w:w w:val="98"/>
              </w:rPr>
              <w:t>Berkeley, California</w:t>
            </w:r>
          </w:p>
        </w:tc>
        <w:tc>
          <w:tcPr>
            <w:tcW w:w="3680" w:type="dxa"/>
            <w:vAlign w:val="bottom"/>
          </w:tcPr>
          <w:p>
            <w:pPr>
              <w:spacing w:after="0"/>
              <w:rPr>
                <w:sz w:val="21"/>
                <w:szCs w:val="21"/>
                <w:color w:val="auto"/>
              </w:rPr>
            </w:pPr>
          </w:p>
        </w:tc>
        <w:tc>
          <w:tcPr>
            <w:tcW w:w="230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94710</w:t>
            </w:r>
          </w:p>
        </w:tc>
      </w:tr>
      <w:tr>
        <w:trPr>
          <w:trHeight w:val="206"/>
        </w:trPr>
        <w:tc>
          <w:tcPr>
            <w:tcW w:w="3300" w:type="dxa"/>
            <w:vAlign w:val="bottom"/>
          </w:tcPr>
          <w:p>
            <w:pPr>
              <w:jc w:val="center"/>
              <w:ind w:right="75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680" w:type="dxa"/>
            <w:vAlign w:val="bottom"/>
          </w:tcPr>
          <w:p>
            <w:pPr>
              <w:spacing w:after="0"/>
              <w:rPr>
                <w:sz w:val="17"/>
                <w:szCs w:val="17"/>
                <w:color w:val="auto"/>
              </w:rPr>
            </w:pPr>
          </w:p>
        </w:tc>
        <w:tc>
          <w:tcPr>
            <w:tcW w:w="2300" w:type="dxa"/>
            <w:vAlign w:val="bottom"/>
          </w:tcPr>
          <w:p>
            <w:pPr>
              <w:jc w:val="center"/>
              <w:ind w:left="110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2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(510) 982-6030</w:t>
      </w:r>
    </w:p>
    <w:p>
      <w:pPr>
        <w:spacing w:after="0" w:line="1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11" w:lineRule="exact"/>
        <w:rPr>
          <w:sz w:val="24"/>
          <w:szCs w:val="24"/>
          <w:color w:val="auto"/>
        </w:rPr>
      </w:pPr>
    </w:p>
    <w:p>
      <w:pPr>
        <w:ind w:left="3820"/>
        <w:spacing w:after="0"/>
        <w:rPr>
          <w:sz w:val="20"/>
          <w:szCs w:val="20"/>
          <w:color w:val="auto"/>
        </w:rPr>
      </w:pPr>
      <w:r>
        <w:rPr>
          <w:rFonts w:ascii="Times New Roman" w:cs="Times New Roman" w:eastAsia="Times New Roman" w:hAnsi="Times New Roman"/>
          <w:sz w:val="18"/>
          <w:szCs w:val="18"/>
          <w:color w:val="auto"/>
        </w:rPr>
        <w:t>________________________________________</w:t>
      </w:r>
    </w:p>
    <w:p>
      <w:pPr>
        <w:spacing w:after="0" w:line="190"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75" w:lineRule="exact"/>
        <w:rPr>
          <w:sz w:val="24"/>
          <w:szCs w:val="24"/>
          <w:color w:val="auto"/>
        </w:rPr>
      </w:pPr>
    </w:p>
    <w:p>
      <w:pPr>
        <w:ind w:left="520" w:hanging="494"/>
        <w:spacing w:after="0"/>
        <w:tabs>
          <w:tab w:leader="none" w:pos="5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71" w:lineRule="exact"/>
        <w:rPr>
          <w:rFonts w:ascii="MS PGothic" w:cs="MS PGothic" w:eastAsia="MS PGothic" w:hAnsi="MS PGothic"/>
          <w:sz w:val="18"/>
          <w:szCs w:val="18"/>
          <w:color w:val="auto"/>
        </w:rPr>
      </w:pPr>
    </w:p>
    <w:p>
      <w:pPr>
        <w:ind w:left="520" w:hanging="494"/>
        <w:spacing w:after="0"/>
        <w:tabs>
          <w:tab w:leader="none" w:pos="5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71" w:lineRule="exact"/>
        <w:rPr>
          <w:rFonts w:ascii="MS PGothic" w:cs="MS PGothic" w:eastAsia="MS PGothic" w:hAnsi="MS PGothic"/>
          <w:sz w:val="18"/>
          <w:szCs w:val="18"/>
          <w:color w:val="auto"/>
        </w:rPr>
      </w:pPr>
    </w:p>
    <w:p>
      <w:pPr>
        <w:ind w:left="520" w:hanging="494"/>
        <w:spacing w:after="0"/>
        <w:tabs>
          <w:tab w:leader="none" w:pos="5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71" w:lineRule="exact"/>
        <w:rPr>
          <w:rFonts w:ascii="MS PGothic" w:cs="MS PGothic" w:eastAsia="MS PGothic" w:hAnsi="MS PGothic"/>
          <w:sz w:val="18"/>
          <w:szCs w:val="18"/>
          <w:color w:val="auto"/>
        </w:rPr>
      </w:pPr>
    </w:p>
    <w:p>
      <w:pPr>
        <w:ind w:left="520" w:hanging="494"/>
        <w:spacing w:after="0"/>
        <w:tabs>
          <w:tab w:leader="none" w:pos="5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7" w:lineRule="exact"/>
        <w:rPr>
          <w:rFonts w:ascii="MS PGothic" w:cs="MS PGothic" w:eastAsia="MS PGothic" w:hAnsi="MS PGothic"/>
          <w:sz w:val="18"/>
          <w:szCs w:val="18"/>
          <w:color w:val="auto"/>
        </w:rPr>
      </w:pPr>
    </w:p>
    <w:p>
      <w:pPr>
        <w:ind w:left="342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43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6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42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c>
          <w:tcPr>
            <w:tcW w:w="0" w:type="dxa"/>
            <w:vAlign w:val="bottom"/>
          </w:tcPr>
          <w:p>
            <w:pPr>
              <w:spacing w:after="0"/>
              <w:rPr>
                <w:sz w:val="1"/>
                <w:szCs w:val="1"/>
                <w:color w:val="auto"/>
              </w:rPr>
            </w:pPr>
          </w:p>
        </w:tc>
      </w:tr>
      <w:tr>
        <w:trPr>
          <w:trHeight w:val="238"/>
        </w:trPr>
        <w:tc>
          <w:tcPr>
            <w:tcW w:w="4300" w:type="dxa"/>
            <w:vAlign w:val="bottom"/>
            <w:gridSpan w:val="2"/>
            <w:vMerge w:val="continue"/>
          </w:tcPr>
          <w:p>
            <w:pPr>
              <w:spacing w:after="0"/>
              <w:rPr>
                <w:sz w:val="20"/>
                <w:szCs w:val="20"/>
                <w:color w:val="auto"/>
              </w:rPr>
            </w:pPr>
          </w:p>
        </w:tc>
        <w:tc>
          <w:tcPr>
            <w:tcW w:w="26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Symbol(s)</w:t>
            </w:r>
          </w:p>
        </w:tc>
        <w:tc>
          <w:tcPr>
            <w:tcW w:w="42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2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$0.0001 par value per share</w:t>
            </w:r>
          </w:p>
        </w:tc>
        <w:tc>
          <w:tcPr>
            <w:tcW w:w="100" w:type="dxa"/>
            <w:vAlign w:val="bottom"/>
          </w:tcPr>
          <w:p>
            <w:pPr>
              <w:spacing w:after="0"/>
              <w:rPr>
                <w:sz w:val="19"/>
                <w:szCs w:val="19"/>
                <w:color w:val="auto"/>
              </w:rPr>
            </w:pPr>
          </w:p>
        </w:tc>
        <w:tc>
          <w:tcPr>
            <w:tcW w:w="2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CRBU</w:t>
            </w:r>
          </w:p>
        </w:tc>
        <w:tc>
          <w:tcPr>
            <w:tcW w:w="80" w:type="dxa"/>
            <w:vAlign w:val="bottom"/>
          </w:tcPr>
          <w:p>
            <w:pPr>
              <w:spacing w:after="0"/>
              <w:rPr>
                <w:sz w:val="19"/>
                <w:szCs w:val="19"/>
                <w:color w:val="auto"/>
              </w:rPr>
            </w:pPr>
          </w:p>
        </w:tc>
        <w:tc>
          <w:tcPr>
            <w:tcW w:w="4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NASDAQ Global Select Market</w:t>
            </w:r>
          </w:p>
        </w:tc>
        <w:tc>
          <w:tcPr>
            <w:tcW w:w="0" w:type="dxa"/>
            <w:vAlign w:val="bottom"/>
          </w:tcPr>
          <w:p>
            <w:pPr>
              <w:spacing w:after="0"/>
              <w:rPr>
                <w:sz w:val="1"/>
                <w:szCs w:val="1"/>
                <w:color w:val="auto"/>
              </w:rPr>
            </w:pPr>
          </w:p>
        </w:tc>
      </w:tr>
    </w:tbl>
    <w:p>
      <w:pPr>
        <w:spacing w:after="0" w:line="233"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94"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25"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793115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128270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121"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On June 17, 2026, Caribou Biosciences, Inc. (the “Company”) held its annual meeting of stockholders (the “Annual Meeting”). The final results for each of the proposals submitted to a vote of the Company’s stockholders at the Annual Meeting are set forth below. A more detailed description of each proposal is set forth in the Company’s definitive proxy statement on Schedule 14A (Amendment No. 1), filed with the Securities and Exchange Commission on May 1, 2026.</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 1 - Election of Three Class II Directors</w:t>
      </w:r>
    </w:p>
    <w:p>
      <w:pPr>
        <w:spacing w:after="0" w:line="121"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Each of the following nominees was elected to serve as a Class II director, to hold office until the Company’s 2029 annual meeting of stockholders and until their respective successor is duly elected and qualified or until their earlier death, resignation, or removal. The voting results on this proposal were as follows:</w:t>
      </w:r>
    </w:p>
    <w:p>
      <w:pPr>
        <w:spacing w:after="0" w:line="104" w:lineRule="exact"/>
        <w:rPr>
          <w:sz w:val="20"/>
          <w:szCs w:val="20"/>
          <w:color w:val="auto"/>
        </w:rPr>
      </w:pPr>
    </w:p>
    <w:tbl>
      <w:tblPr>
        <w:tblLayout w:type="fixed"/>
        <w:tblInd w:w="660" w:type="dxa"/>
        <w:tblCellMar>
          <w:top w:w="0" w:type="dxa"/>
          <w:left w:w="0" w:type="dxa"/>
          <w:bottom w:w="0" w:type="dxa"/>
          <w:right w:w="0" w:type="dxa"/>
        </w:tblCellMar>
      </w:tblPr>
      <w:tr>
        <w:trPr>
          <w:trHeight w:val="238"/>
        </w:trPr>
        <w:tc>
          <w:tcPr>
            <w:tcW w:w="3040" w:type="dxa"/>
            <w:vAlign w:val="bottom"/>
            <w:gridSpan w:val="2"/>
          </w:tcPr>
          <w:p>
            <w:pPr>
              <w:ind w:left="1140"/>
              <w:spacing w:after="0"/>
              <w:rPr>
                <w:sz w:val="20"/>
                <w:szCs w:val="20"/>
                <w:color w:val="auto"/>
              </w:rPr>
            </w:pPr>
            <w:r>
              <w:rPr>
                <w:rFonts w:ascii="Times New Roman" w:cs="Times New Roman" w:eastAsia="Times New Roman" w:hAnsi="Times New Roman"/>
                <w:sz w:val="18"/>
                <w:szCs w:val="18"/>
                <w:b w:val="1"/>
                <w:bCs w:val="1"/>
                <w:color w:val="auto"/>
              </w:rPr>
              <w:t>Nominee</w:t>
            </w:r>
          </w:p>
        </w:tc>
        <w:tc>
          <w:tcPr>
            <w:tcW w:w="23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23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Votes Withheld</w:t>
            </w: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7"/>
        </w:trPr>
        <w:tc>
          <w:tcPr>
            <w:tcW w:w="2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r>
      <w:tr>
        <w:trPr>
          <w:trHeight w:val="466"/>
        </w:trPr>
        <w:tc>
          <w:tcPr>
            <w:tcW w:w="3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Andrew Guggenhime, M.B.A.</w:t>
            </w:r>
          </w:p>
        </w:tc>
        <w:tc>
          <w:tcPr>
            <w:tcW w:w="2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31,554,511</w:t>
            </w:r>
          </w:p>
        </w:tc>
        <w:tc>
          <w:tcPr>
            <w:tcW w:w="100" w:type="dxa"/>
            <w:vAlign w:val="bottom"/>
            <w:shd w:val="clear" w:color="auto" w:fill="CCEEFF"/>
          </w:tcPr>
          <w:p>
            <w:pPr>
              <w:spacing w:after="0"/>
              <w:rPr>
                <w:sz w:val="24"/>
                <w:szCs w:val="24"/>
                <w:color w:val="auto"/>
              </w:rPr>
            </w:pPr>
          </w:p>
        </w:tc>
        <w:tc>
          <w:tcPr>
            <w:tcW w:w="2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9,585,265</w:t>
            </w:r>
          </w:p>
        </w:tc>
        <w:tc>
          <w:tcPr>
            <w:tcW w:w="80" w:type="dxa"/>
            <w:vAlign w:val="bottom"/>
            <w:shd w:val="clear" w:color="auto" w:fill="CCEEFF"/>
          </w:tcPr>
          <w:p>
            <w:pPr>
              <w:spacing w:after="0"/>
              <w:rPr>
                <w:sz w:val="24"/>
                <w:szCs w:val="24"/>
                <w:color w:val="auto"/>
              </w:rPr>
            </w:pPr>
          </w:p>
        </w:tc>
        <w:tc>
          <w:tcPr>
            <w:tcW w:w="2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27,098,425</w:t>
            </w:r>
          </w:p>
        </w:tc>
      </w:tr>
      <w:tr>
        <w:trPr>
          <w:trHeight w:val="473"/>
        </w:trPr>
        <w:tc>
          <w:tcPr>
            <w:tcW w:w="3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David Johnson, M.B.A.</w:t>
            </w: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31,725,652</w:t>
            </w:r>
          </w:p>
        </w:tc>
        <w:tc>
          <w:tcPr>
            <w:tcW w:w="100" w:type="dxa"/>
            <w:vAlign w:val="bottom"/>
          </w:tcPr>
          <w:p>
            <w:pPr>
              <w:spacing w:after="0"/>
              <w:rPr>
                <w:sz w:val="24"/>
                <w:szCs w:val="24"/>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9,414,124</w:t>
            </w:r>
          </w:p>
        </w:tc>
        <w:tc>
          <w:tcPr>
            <w:tcW w:w="80" w:type="dxa"/>
            <w:vAlign w:val="bottom"/>
          </w:tcPr>
          <w:p>
            <w:pPr>
              <w:spacing w:after="0"/>
              <w:rPr>
                <w:sz w:val="24"/>
                <w:szCs w:val="24"/>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27,098,425</w:t>
            </w:r>
          </w:p>
        </w:tc>
      </w:tr>
      <w:tr>
        <w:trPr>
          <w:trHeight w:val="473"/>
        </w:trPr>
        <w:tc>
          <w:tcPr>
            <w:tcW w:w="3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Nancy Whiting, Pharm.D.</w:t>
            </w:r>
          </w:p>
        </w:tc>
        <w:tc>
          <w:tcPr>
            <w:tcW w:w="2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31,694,175</w:t>
            </w:r>
          </w:p>
        </w:tc>
        <w:tc>
          <w:tcPr>
            <w:tcW w:w="100" w:type="dxa"/>
            <w:vAlign w:val="bottom"/>
            <w:shd w:val="clear" w:color="auto" w:fill="CCEEFF"/>
          </w:tcPr>
          <w:p>
            <w:pPr>
              <w:spacing w:after="0"/>
              <w:rPr>
                <w:sz w:val="24"/>
                <w:szCs w:val="24"/>
                <w:color w:val="auto"/>
              </w:rPr>
            </w:pPr>
          </w:p>
        </w:tc>
        <w:tc>
          <w:tcPr>
            <w:tcW w:w="2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9,445,601</w:t>
            </w:r>
          </w:p>
        </w:tc>
        <w:tc>
          <w:tcPr>
            <w:tcW w:w="80" w:type="dxa"/>
            <w:vAlign w:val="bottom"/>
            <w:shd w:val="clear" w:color="auto" w:fill="CCEEFF"/>
          </w:tcPr>
          <w:p>
            <w:pPr>
              <w:spacing w:after="0"/>
              <w:rPr>
                <w:sz w:val="24"/>
                <w:szCs w:val="24"/>
                <w:color w:val="auto"/>
              </w:rPr>
            </w:pPr>
          </w:p>
        </w:tc>
        <w:tc>
          <w:tcPr>
            <w:tcW w:w="2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27,098,425</w:t>
            </w:r>
          </w:p>
        </w:tc>
      </w:tr>
    </w:tbl>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 2 - Ratification of Selection of Independent Registered Public Accounting Firm</w:t>
      </w:r>
    </w:p>
    <w:p>
      <w:pPr>
        <w:spacing w:after="0" w:line="121"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The stockholders ratified the selection by the Audit Committee of the Company’s Board of Directors of Deloitte &amp; Touche LLP as the Company’s independent registered public accounting firm for the fiscal year ending December 31, 2026, by the following votes:</w:t>
      </w:r>
    </w:p>
    <w:p>
      <w:pPr>
        <w:spacing w:after="0" w:line="90" w:lineRule="exact"/>
        <w:rPr>
          <w:sz w:val="20"/>
          <w:szCs w:val="20"/>
          <w:color w:val="auto"/>
        </w:rPr>
      </w:pPr>
    </w:p>
    <w:tbl>
      <w:tblPr>
        <w:tblLayout w:type="fixed"/>
        <w:tblInd w:w="1300" w:type="dxa"/>
        <w:tblCellMar>
          <w:top w:w="0" w:type="dxa"/>
          <w:left w:w="0" w:type="dxa"/>
          <w:bottom w:w="0" w:type="dxa"/>
          <w:right w:w="0" w:type="dxa"/>
        </w:tblCellMar>
      </w:tblPr>
      <w:tr>
        <w:trPr>
          <w:trHeight w:val="238"/>
        </w:trPr>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Votes Against</w:t>
            </w:r>
          </w:p>
        </w:tc>
        <w:tc>
          <w:tcPr>
            <w:tcW w:w="2100" w:type="dxa"/>
            <w:vAlign w:val="bottom"/>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8"/>
              </w:rPr>
              <w:t>Votes Abstain</w:t>
            </w:r>
          </w:p>
        </w:tc>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7"/>
        </w:trPr>
        <w:tc>
          <w:tcPr>
            <w:tcW w:w="210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r>
      <w:tr>
        <w:trPr>
          <w:trHeight w:val="223"/>
        </w:trPr>
        <w:tc>
          <w:tcPr>
            <w:tcW w:w="210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67,457,482</w:t>
            </w:r>
          </w:p>
        </w:tc>
        <w:tc>
          <w:tcPr>
            <w:tcW w:w="2260" w:type="dxa"/>
            <w:vAlign w:val="bottom"/>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rPr>
              <w:t>337,911</w:t>
            </w:r>
          </w:p>
        </w:tc>
        <w:tc>
          <w:tcPr>
            <w:tcW w:w="2100" w:type="dxa"/>
            <w:vAlign w:val="bottom"/>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442,808</w:t>
            </w:r>
          </w:p>
        </w:tc>
        <w:tc>
          <w:tcPr>
            <w:tcW w:w="2200" w:type="dxa"/>
            <w:vAlign w:val="bottom"/>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rPr>
              <w:t>0</w:t>
            </w:r>
          </w:p>
        </w:tc>
      </w:tr>
    </w:tbl>
    <w:p>
      <w:pPr>
        <w:spacing w:after="0" w:line="383"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color w:val="auto"/>
        </w:rPr>
        <w:t>Proposal 3 - Approval of an Amendment to the Company's Amended and Restated Certificate of Incorporation to Provide for Exculpation of Officers from Certain Breaches of Fiduciary Duty to the Fullest Extent Permitted by the General Corporation Law of the State of Delaware</w:t>
      </w:r>
    </w:p>
    <w:p>
      <w:pPr>
        <w:spacing w:after="0" w:line="51" w:lineRule="exact"/>
        <w:rPr>
          <w:sz w:val="20"/>
          <w:szCs w:val="20"/>
          <w:color w:val="auto"/>
        </w:rPr>
      </w:pPr>
    </w:p>
    <w:p>
      <w:pPr>
        <w:ind w:right="480" w:firstLine="648"/>
        <w:spacing w:after="0" w:line="282" w:lineRule="auto"/>
        <w:rPr>
          <w:sz w:val="20"/>
          <w:szCs w:val="20"/>
          <w:color w:val="auto"/>
        </w:rPr>
      </w:pPr>
      <w:r>
        <w:rPr>
          <w:rFonts w:ascii="Times New Roman" w:cs="Times New Roman" w:eastAsia="Times New Roman" w:hAnsi="Times New Roman"/>
          <w:sz w:val="18"/>
          <w:szCs w:val="18"/>
          <w:color w:val="auto"/>
        </w:rPr>
        <w:t>The stockholders did not approve the above-referenced amendment to the Company's amended and restated certificate of incorporation. The voting results on this proposal were as follows:</w:t>
      </w:r>
    </w:p>
    <w:p>
      <w:pPr>
        <w:spacing w:after="0" w:line="90" w:lineRule="exact"/>
        <w:rPr>
          <w:sz w:val="20"/>
          <w:szCs w:val="20"/>
          <w:color w:val="auto"/>
        </w:rPr>
      </w:pPr>
    </w:p>
    <w:tbl>
      <w:tblPr>
        <w:tblLayout w:type="fixed"/>
        <w:tblInd w:w="1300" w:type="dxa"/>
        <w:tblCellMar>
          <w:top w:w="0" w:type="dxa"/>
          <w:left w:w="0" w:type="dxa"/>
          <w:bottom w:w="0" w:type="dxa"/>
          <w:right w:w="0" w:type="dxa"/>
        </w:tblCellMar>
      </w:tblPr>
      <w:tr>
        <w:trPr>
          <w:trHeight w:val="238"/>
        </w:trPr>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Votes Against</w:t>
            </w:r>
          </w:p>
        </w:tc>
        <w:tc>
          <w:tcPr>
            <w:tcW w:w="2100" w:type="dxa"/>
            <w:vAlign w:val="bottom"/>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8"/>
              </w:rPr>
              <w:t>Votes Abstain</w:t>
            </w:r>
          </w:p>
        </w:tc>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7"/>
        </w:trPr>
        <w:tc>
          <w:tcPr>
            <w:tcW w:w="210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r>
      <w:tr>
        <w:trPr>
          <w:trHeight w:val="223"/>
        </w:trPr>
        <w:tc>
          <w:tcPr>
            <w:tcW w:w="210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37,483,637</w:t>
            </w:r>
          </w:p>
        </w:tc>
        <w:tc>
          <w:tcPr>
            <w:tcW w:w="2260" w:type="dxa"/>
            <w:vAlign w:val="bottom"/>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3,513,785</w:t>
            </w:r>
          </w:p>
        </w:tc>
        <w:tc>
          <w:tcPr>
            <w:tcW w:w="2100" w:type="dxa"/>
            <w:vAlign w:val="bottom"/>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142,354</w:t>
            </w:r>
          </w:p>
        </w:tc>
        <w:tc>
          <w:tcPr>
            <w:tcW w:w="220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27,098,425</w:t>
            </w:r>
          </w:p>
        </w:tc>
      </w:tr>
    </w:tbl>
    <w:p>
      <w:pPr>
        <w:spacing w:after="0" w:line="396"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8"/>
          <w:szCs w:val="18"/>
          <w:b w:val="1"/>
          <w:bCs w:val="1"/>
          <w:color w:val="auto"/>
        </w:rPr>
        <w:t>Proposal 4 - Approval of the Adjournment of the 2026 Annual Meeting to a Later Date or Dates, if Necessary, to Permit Further Solicitation and Voting of Proxies in the Event There are not Sufficient Votes in Favor of Proposal 3 or if There are not Sufficient Shares Present to Establish a Quorum.</w:t>
      </w:r>
    </w:p>
    <w:p>
      <w:pPr>
        <w:spacing w:after="0" w:line="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stockholders approved the adjournment of the 2026 annual meeting, if necessary, by the following votes: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3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20" w:type="dxa"/>
            <w:vAlign w:val="bottom"/>
          </w:tcPr>
          <w:p>
            <w:pPr>
              <w:jc w:val="center"/>
              <w:ind w:right="870"/>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192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7"/>
              </w:rPr>
              <w:t>Votes Against</w:t>
            </w:r>
          </w:p>
        </w:tc>
        <w:tc>
          <w:tcPr>
            <w:tcW w:w="2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Votes Abstain</w:t>
            </w:r>
          </w:p>
        </w:tc>
        <w:tc>
          <w:tcPr>
            <w:tcW w:w="3280" w:type="dxa"/>
            <w:vAlign w:val="bottom"/>
            <w:gridSpan w:val="2"/>
          </w:tcPr>
          <w:p>
            <w:pPr>
              <w:jc w:val="center"/>
              <w:ind w:right="1420"/>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7"/>
        </w:trPr>
        <w:tc>
          <w:tcPr>
            <w:tcW w:w="13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280" w:type="dxa"/>
            <w:vAlign w:val="bottom"/>
          </w:tcPr>
          <w:p>
            <w:pPr>
              <w:spacing w:after="0"/>
              <w:rPr>
                <w:sz w:val="2"/>
                <w:szCs w:val="2"/>
                <w:color w:val="auto"/>
              </w:rPr>
            </w:pPr>
          </w:p>
        </w:tc>
      </w:tr>
      <w:tr>
        <w:trPr>
          <w:trHeight w:val="223"/>
        </w:trPr>
        <w:tc>
          <w:tcPr>
            <w:tcW w:w="1300" w:type="dxa"/>
            <w:vAlign w:val="bottom"/>
          </w:tcPr>
          <w:p>
            <w:pPr>
              <w:spacing w:after="0"/>
              <w:rPr>
                <w:sz w:val="19"/>
                <w:szCs w:val="19"/>
                <w:color w:val="auto"/>
              </w:rPr>
            </w:pPr>
          </w:p>
        </w:tc>
        <w:tc>
          <w:tcPr>
            <w:tcW w:w="2440" w:type="dxa"/>
            <w:vAlign w:val="bottom"/>
            <w:gridSpan w:val="3"/>
            <w:shd w:val="clear" w:color="auto" w:fill="CCEEFF"/>
          </w:tcPr>
          <w:p>
            <w:pPr>
              <w:jc w:val="center"/>
              <w:ind w:right="230"/>
              <w:spacing w:after="0"/>
              <w:rPr>
                <w:sz w:val="20"/>
                <w:szCs w:val="20"/>
                <w:color w:val="auto"/>
              </w:rPr>
            </w:pPr>
            <w:r>
              <w:rPr>
                <w:rFonts w:ascii="Times New Roman" w:cs="Times New Roman" w:eastAsia="Times New Roman" w:hAnsi="Times New Roman"/>
                <w:sz w:val="18"/>
                <w:szCs w:val="18"/>
                <w:color w:val="auto"/>
                <w:w w:val="98"/>
              </w:rPr>
              <w:t>37,615,389</w:t>
            </w:r>
          </w:p>
        </w:tc>
        <w:tc>
          <w:tcPr>
            <w:tcW w:w="1920" w:type="dxa"/>
            <w:vAlign w:val="bottom"/>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3,418,004</w:t>
            </w:r>
          </w:p>
        </w:tc>
        <w:tc>
          <w:tcPr>
            <w:tcW w:w="230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106,383</w:t>
            </w:r>
          </w:p>
        </w:tc>
        <w:tc>
          <w:tcPr>
            <w:tcW w:w="200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27,098,425</w:t>
            </w:r>
          </w:p>
        </w:tc>
        <w:tc>
          <w:tcPr>
            <w:tcW w:w="1280" w:type="dxa"/>
            <w:vAlign w:val="bottom"/>
          </w:tcPr>
          <w:p>
            <w:pPr>
              <w:spacing w:after="0"/>
              <w:rPr>
                <w:sz w:val="19"/>
                <w:szCs w:val="19"/>
                <w:color w:val="auto"/>
              </w:rPr>
            </w:pPr>
          </w:p>
        </w:tc>
      </w:tr>
      <w:tr>
        <w:trPr>
          <w:trHeight w:val="418"/>
        </w:trPr>
        <w:tc>
          <w:tcPr>
            <w:tcW w:w="11240" w:type="dxa"/>
            <w:vAlign w:val="bottom"/>
            <w:gridSpan w:val="8"/>
          </w:tcPr>
          <w:p>
            <w:pPr>
              <w:ind w:left="660"/>
              <w:spacing w:after="0"/>
              <w:rPr>
                <w:sz w:val="20"/>
                <w:szCs w:val="20"/>
                <w:color w:val="auto"/>
              </w:rPr>
            </w:pPr>
            <w:r>
              <w:rPr>
                <w:rFonts w:ascii="Times New Roman" w:cs="Times New Roman" w:eastAsia="Times New Roman" w:hAnsi="Times New Roman"/>
                <w:sz w:val="18"/>
                <w:szCs w:val="18"/>
                <w:color w:val="auto"/>
              </w:rPr>
              <w:t>Although Proposal 3 was not approved, the Company decided not to adjourn the 2026 annual meeting to solicit additional votes.</w:t>
            </w:r>
          </w:p>
        </w:tc>
      </w:tr>
      <w:tr>
        <w:trPr>
          <w:trHeight w:val="540"/>
        </w:trPr>
        <w:tc>
          <w:tcPr>
            <w:tcW w:w="37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tc>
        <w:tc>
          <w:tcPr>
            <w:tcW w:w="19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324"/>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(d) Exhibits</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473"/>
        </w:trPr>
        <w:tc>
          <w:tcPr>
            <w:tcW w:w="1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5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20" w:type="dxa"/>
            <w:vAlign w:val="bottom"/>
            <w:tcBorders>
              <w:bottom w:val="single" w:sz="8" w:color="auto"/>
            </w:tcBorders>
          </w:tcPr>
          <w:p>
            <w:pPr>
              <w:jc w:val="center"/>
              <w:ind w:right="83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92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r>
      <w:tr>
        <w:trPr>
          <w:trHeight w:val="228"/>
        </w:trPr>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200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1001"/>
        </w:trPr>
        <w:tc>
          <w:tcPr>
            <w:tcW w:w="130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20" w:type="dxa"/>
            <w:vAlign w:val="bottom"/>
            <w:tcBorders>
              <w:bottom w:val="single" w:sz="8" w:color="9A9A9A"/>
            </w:tcBorders>
          </w:tcPr>
          <w:p>
            <w:pPr>
              <w:spacing w:after="0"/>
              <w:rPr>
                <w:sz w:val="24"/>
                <w:szCs w:val="24"/>
                <w:color w:val="auto"/>
              </w:rPr>
            </w:pPr>
          </w:p>
        </w:tc>
        <w:tc>
          <w:tcPr>
            <w:tcW w:w="1920" w:type="dxa"/>
            <w:vAlign w:val="bottom"/>
            <w:tcBorders>
              <w:bottom w:val="single" w:sz="8" w:color="9A9A9A"/>
            </w:tcBorders>
          </w:tcPr>
          <w:p>
            <w:pPr>
              <w:spacing w:after="0"/>
              <w:rPr>
                <w:sz w:val="24"/>
                <w:szCs w:val="24"/>
                <w:color w:val="auto"/>
              </w:rPr>
            </w:pPr>
          </w:p>
        </w:tc>
        <w:tc>
          <w:tcPr>
            <w:tcW w:w="2300" w:type="dxa"/>
            <w:vAlign w:val="bottom"/>
            <w:tcBorders>
              <w:bottom w:val="single" w:sz="8" w:color="9A9A9A"/>
            </w:tcBorders>
          </w:tcPr>
          <w:p>
            <w:pPr>
              <w:spacing w:after="0"/>
              <w:rPr>
                <w:sz w:val="24"/>
                <w:szCs w:val="24"/>
                <w:color w:val="auto"/>
              </w:rPr>
            </w:pPr>
          </w:p>
        </w:tc>
        <w:tc>
          <w:tcPr>
            <w:tcW w:w="200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38"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202"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Caribou Biosciences, Inc.</w:t>
      </w:r>
    </w:p>
    <w:p>
      <w:pPr>
        <w:spacing w:after="0" w:line="293" w:lineRule="exact"/>
        <w:rPr>
          <w:sz w:val="20"/>
          <w:szCs w:val="20"/>
          <w:color w:val="auto"/>
        </w:rPr>
      </w:pPr>
    </w:p>
    <w:p>
      <w:pPr>
        <w:ind w:left="20"/>
        <w:spacing w:after="0"/>
        <w:tabs>
          <w:tab w:leader="none" w:pos="620" w:val="left"/>
          <w:tab w:leader="none" w:pos="5620" w:val="left"/>
          <w:tab w:leader="none" w:pos="6120" w:val="left"/>
        </w:tabs>
        <w:rPr>
          <w:sz w:val="20"/>
          <w:szCs w:val="20"/>
          <w:color w:val="auto"/>
        </w:rPr>
      </w:pPr>
      <w:r>
        <w:rPr>
          <w:rFonts w:ascii="Times New Roman" w:cs="Times New Roman" w:eastAsia="Times New Roman" w:hAnsi="Times New Roman"/>
          <w:sz w:val="18"/>
          <w:szCs w:val="18"/>
          <w:color w:val="auto"/>
        </w:rPr>
        <w:t>Date:</w:t>
        <w:tab/>
        <w:t>June 18, 2026</w:t>
      </w:r>
      <w:r>
        <w:rPr>
          <w:sz w:val="20"/>
          <w:szCs w:val="20"/>
          <w:color w:val="auto"/>
        </w:rPr>
        <w:tab/>
      </w:r>
      <w:r>
        <w:rPr>
          <w:rFonts w:ascii="Times New Roman" w:cs="Times New Roman" w:eastAsia="Times New Roman" w:hAnsi="Times New Roman"/>
          <w:sz w:val="18"/>
          <w:szCs w:val="18"/>
          <w:color w:val="auto"/>
        </w:rPr>
        <w:t>By:</w:t>
        <w:tab/>
        <w:t>/s/ Rachel E. Haurwitz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26035</wp:posOffset>
            </wp:positionV>
            <wp:extent cx="32746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43"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Rachel E. Haurwitz, Ph.D.</w:t>
      </w:r>
    </w:p>
    <w:p>
      <w:pPr>
        <w:spacing w:after="0" w:line="2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President and Chief Executive Officer</w:t>
      </w:r>
    </w:p>
    <w:sectPr>
      <w:pgSz w:w="11900" w:h="16838" w:orient="portrait"/>
      <w:cols w:equalWidth="0" w:num="1">
        <w:col w:w="11220"/>
      </w:cols>
      <w:pgMar w:left="320" w:top="1251"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2026-06-18T15:10:14Z</dcterms:created>
  <dcterms:modified xsi:type="dcterms:W3CDTF">2026-06-18T15:10:14Z</dcterms:modified>
</cp:coreProperties>
</file>