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Albertson Tina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CARIBOU BIOSCIENCES,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2929 7TH STREET,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Caribou Biosciences,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CRBU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BERKELEY</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94710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02/20/2025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14,589</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14,589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02/20/2025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66,137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02/19/2035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66,137</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66,137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Common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restricted stock units ("RSUs") that vest in four equal annual installments beginning on February 20, 2026, subject to the reporting person's continued services to the Issuer through the applicable vesting dates. The RSUs will be settled in stock within 30 days after each vesting date.</w:t>
      </w:r>
    </w:p>
    <w:p>
      <w:pPr>
        <w:spacing w:after="0" w:line="17"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options will vest upon the one-year anniversary of the grant date, February 20, 2026, and 1/48th will vest monthly thereafter over the 36-month period following the one-year cliff, subject to the reporting person's continued service to the Issuer through the applicable vesting dates.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Barbara G. McClung,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02/21/2025</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780" w:type="dxa"/>
            <w:vAlign w:val="bottom"/>
            <w:tcBorders>
              <w:top w:val="single" w:sz="8" w:color="auto"/>
              <w:bottom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7391" TargetMode="External"/><Relationship Id="rId14" Type="http://schemas.openxmlformats.org/officeDocument/2006/relationships/hyperlink" Target="http://www.sec.gov/cgi-bin/browse-edgar?action=getcompany&amp;CIK=0001619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2025-02-21T19:29:03Z</dcterms:created>
  <dcterms:modified xsi:type="dcterms:W3CDTF">2025-02-21T19:29:03Z</dcterms:modified>
</cp:coreProperties>
</file>