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98"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680" w:type="dxa"/>
            <w:vAlign w:val="bottom"/>
          </w:tcPr>
          <w:p>
            <w:pPr>
              <w:spacing w:after="0"/>
              <w:rPr>
                <w:sz w:val="18"/>
                <w:szCs w:val="18"/>
                <w:color w:val="auto"/>
              </w:rPr>
            </w:pPr>
          </w:p>
        </w:tc>
        <w:tc>
          <w:tcPr>
            <w:tcW w:w="8560" w:type="dxa"/>
            <w:vAlign w:val="bottom"/>
          </w:tcPr>
          <w:p>
            <w:pPr>
              <w:jc w:val="center"/>
              <w:ind w:right="2590"/>
              <w:spacing w:after="0"/>
              <w:rPr>
                <w:sz w:val="20"/>
                <w:szCs w:val="20"/>
                <w:color w:val="auto"/>
              </w:rPr>
            </w:pPr>
            <w:r>
              <w:rPr>
                <w:rFonts w:ascii="Times New Roman" w:cs="Times New Roman" w:eastAsia="Times New Roman" w:hAnsi="Times New Roman"/>
                <w:sz w:val="18"/>
                <w:szCs w:val="18"/>
                <w:b w:val="1"/>
                <w:bCs w:val="1"/>
                <w:color w:val="auto"/>
                <w:w w:val="97"/>
              </w:rPr>
              <w:t>UNITED STATES</w:t>
            </w:r>
          </w:p>
        </w:tc>
      </w:tr>
      <w:tr>
        <w:trPr>
          <w:trHeight w:val="238"/>
        </w:trPr>
        <w:tc>
          <w:tcPr>
            <w:tcW w:w="2680" w:type="dxa"/>
            <w:vAlign w:val="bottom"/>
          </w:tcPr>
          <w:p>
            <w:pPr>
              <w:spacing w:after="0"/>
              <w:rPr>
                <w:sz w:val="20"/>
                <w:szCs w:val="20"/>
                <w:color w:val="auto"/>
              </w:rPr>
            </w:pPr>
          </w:p>
        </w:tc>
        <w:tc>
          <w:tcPr>
            <w:tcW w:w="8560" w:type="dxa"/>
            <w:vAlign w:val="bottom"/>
          </w:tcPr>
          <w:p>
            <w:pPr>
              <w:jc w:val="center"/>
              <w:ind w:right="259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tc>
      </w:tr>
      <w:tr>
        <w:trPr>
          <w:trHeight w:val="324"/>
        </w:trPr>
        <w:tc>
          <w:tcPr>
            <w:tcW w:w="2680" w:type="dxa"/>
            <w:vAlign w:val="bottom"/>
          </w:tcPr>
          <w:p>
            <w:pPr>
              <w:spacing w:after="0"/>
              <w:rPr>
                <w:sz w:val="24"/>
                <w:szCs w:val="24"/>
                <w:color w:val="auto"/>
              </w:rPr>
            </w:pPr>
          </w:p>
        </w:tc>
        <w:tc>
          <w:tcPr>
            <w:tcW w:w="8560" w:type="dxa"/>
            <w:vAlign w:val="bottom"/>
          </w:tcPr>
          <w:p>
            <w:pPr>
              <w:jc w:val="center"/>
              <w:ind w:right="2570"/>
              <w:spacing w:after="0"/>
              <w:rPr>
                <w:sz w:val="20"/>
                <w:szCs w:val="20"/>
                <w:color w:val="auto"/>
              </w:rPr>
            </w:pPr>
            <w:r>
              <w:rPr>
                <w:rFonts w:ascii="Times New Roman" w:cs="Times New Roman" w:eastAsia="Times New Roman" w:hAnsi="Times New Roman"/>
                <w:sz w:val="18"/>
                <w:szCs w:val="18"/>
                <w:b w:val="1"/>
                <w:bCs w:val="1"/>
                <w:color w:val="auto"/>
                <w:w w:val="99"/>
              </w:rPr>
              <w:t>Washington, D.C. 20549</w:t>
            </w:r>
          </w:p>
        </w:tc>
      </w:tr>
      <w:tr>
        <w:trPr>
          <w:trHeight w:val="257"/>
        </w:trPr>
        <w:tc>
          <w:tcPr>
            <w:tcW w:w="2680" w:type="dxa"/>
            <w:vAlign w:val="bottom"/>
            <w:tcBorders>
              <w:bottom w:val="single" w:sz="8" w:color="auto"/>
            </w:tcBorders>
          </w:tcPr>
          <w:p>
            <w:pPr>
              <w:spacing w:after="0"/>
              <w:rPr>
                <w:sz w:val="22"/>
                <w:szCs w:val="22"/>
                <w:color w:val="auto"/>
              </w:rPr>
            </w:pPr>
          </w:p>
        </w:tc>
        <w:tc>
          <w:tcPr>
            <w:tcW w:w="8560" w:type="dxa"/>
            <w:vAlign w:val="bottom"/>
            <w:tcBorders>
              <w:bottom w:val="single" w:sz="8" w:color="auto"/>
            </w:tcBorders>
          </w:tcPr>
          <w:p>
            <w:pPr>
              <w:spacing w:after="0"/>
              <w:rPr>
                <w:sz w:val="22"/>
                <w:szCs w:val="22"/>
                <w:color w:val="auto"/>
              </w:rPr>
            </w:pPr>
          </w:p>
        </w:tc>
      </w:tr>
      <w:tr>
        <w:trPr>
          <w:trHeight w:val="358"/>
        </w:trPr>
        <w:tc>
          <w:tcPr>
            <w:tcW w:w="2680" w:type="dxa"/>
            <w:vAlign w:val="bottom"/>
          </w:tcPr>
          <w:p>
            <w:pPr>
              <w:spacing w:after="0"/>
              <w:rPr>
                <w:sz w:val="24"/>
                <w:szCs w:val="24"/>
                <w:color w:val="auto"/>
              </w:rPr>
            </w:pPr>
          </w:p>
        </w:tc>
        <w:tc>
          <w:tcPr>
            <w:tcW w:w="8560" w:type="dxa"/>
            <w:vAlign w:val="bottom"/>
          </w:tcPr>
          <w:p>
            <w:pPr>
              <w:jc w:val="center"/>
              <w:ind w:right="2570"/>
              <w:spacing w:after="0"/>
              <w:rPr>
                <w:sz w:val="20"/>
                <w:szCs w:val="20"/>
                <w:color w:val="auto"/>
              </w:rPr>
            </w:pPr>
            <w:r>
              <w:rPr>
                <w:rFonts w:ascii="Times New Roman" w:cs="Times New Roman" w:eastAsia="Times New Roman" w:hAnsi="Times New Roman"/>
                <w:sz w:val="18"/>
                <w:szCs w:val="18"/>
                <w:b w:val="1"/>
                <w:bCs w:val="1"/>
                <w:color w:val="auto"/>
                <w:w w:val="99"/>
              </w:rPr>
              <w:t>SCHEDULE 14A</w:t>
            </w:r>
          </w:p>
        </w:tc>
      </w:tr>
      <w:tr>
        <w:trPr>
          <w:trHeight w:val="270"/>
        </w:trPr>
        <w:tc>
          <w:tcPr>
            <w:tcW w:w="2680" w:type="dxa"/>
            <w:vAlign w:val="bottom"/>
          </w:tcPr>
          <w:p>
            <w:pPr>
              <w:spacing w:after="0"/>
              <w:rPr>
                <w:sz w:val="23"/>
                <w:szCs w:val="23"/>
                <w:color w:val="auto"/>
              </w:rPr>
            </w:pPr>
          </w:p>
        </w:tc>
        <w:tc>
          <w:tcPr>
            <w:tcW w:w="8560" w:type="dxa"/>
            <w:vAlign w:val="bottom"/>
          </w:tcPr>
          <w:p>
            <w:pPr>
              <w:jc w:val="center"/>
              <w:ind w:right="2590"/>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w:t>
            </w:r>
          </w:p>
        </w:tc>
      </w:tr>
      <w:tr>
        <w:trPr>
          <w:trHeight w:val="270"/>
        </w:trPr>
        <w:tc>
          <w:tcPr>
            <w:tcW w:w="2680" w:type="dxa"/>
            <w:vAlign w:val="bottom"/>
          </w:tcPr>
          <w:p>
            <w:pPr>
              <w:spacing w:after="0"/>
              <w:rPr>
                <w:sz w:val="23"/>
                <w:szCs w:val="23"/>
                <w:color w:val="auto"/>
              </w:rPr>
            </w:pPr>
          </w:p>
        </w:tc>
        <w:tc>
          <w:tcPr>
            <w:tcW w:w="8560" w:type="dxa"/>
            <w:vAlign w:val="bottom"/>
          </w:tcPr>
          <w:p>
            <w:pPr>
              <w:jc w:val="center"/>
              <w:ind w:right="2570"/>
              <w:spacing w:after="0"/>
              <w:rPr>
                <w:sz w:val="20"/>
                <w:szCs w:val="20"/>
                <w:color w:val="auto"/>
              </w:rPr>
            </w:pPr>
            <w:r>
              <w:rPr>
                <w:rFonts w:ascii="Times New Roman" w:cs="Times New Roman" w:eastAsia="Times New Roman" w:hAnsi="Times New Roman"/>
                <w:sz w:val="18"/>
                <w:szCs w:val="18"/>
                <w:b w:val="1"/>
                <w:bCs w:val="1"/>
                <w:color w:val="auto"/>
                <w:w w:val="99"/>
              </w:rPr>
              <w:t>Securities Exchange Act of 1934</w:t>
            </w:r>
          </w:p>
        </w:tc>
      </w:tr>
      <w:tr>
        <w:trPr>
          <w:trHeight w:val="256"/>
        </w:trPr>
        <w:tc>
          <w:tcPr>
            <w:tcW w:w="2680" w:type="dxa"/>
            <w:vAlign w:val="bottom"/>
            <w:tcBorders>
              <w:bottom w:val="single" w:sz="8" w:color="auto"/>
            </w:tcBorders>
          </w:tcPr>
          <w:p>
            <w:pPr>
              <w:spacing w:after="0"/>
              <w:rPr>
                <w:sz w:val="22"/>
                <w:szCs w:val="22"/>
                <w:color w:val="auto"/>
              </w:rPr>
            </w:pPr>
          </w:p>
        </w:tc>
        <w:tc>
          <w:tcPr>
            <w:tcW w:w="8560" w:type="dxa"/>
            <w:vAlign w:val="bottom"/>
            <w:tcBorders>
              <w:bottom w:val="single" w:sz="8" w:color="auto"/>
            </w:tcBorders>
          </w:tcPr>
          <w:p>
            <w:pPr>
              <w:spacing w:after="0"/>
              <w:rPr>
                <w:sz w:val="22"/>
                <w:szCs w:val="22"/>
                <w:color w:val="auto"/>
              </w:rPr>
            </w:pPr>
          </w:p>
        </w:tc>
      </w:tr>
      <w:tr>
        <w:trPr>
          <w:trHeight w:val="466"/>
        </w:trPr>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Filed by the Registrant  </w:t>
            </w:r>
            <w:r>
              <w:rPr>
                <w:rFonts w:ascii="Wingdings" w:cs="Wingdings" w:eastAsia="Wingdings" w:hAnsi="Wingdings"/>
                <w:sz w:val="18"/>
                <w:szCs w:val="18"/>
                <w:b w:val="1"/>
                <w:bCs w:val="1"/>
                <w:color w:val="auto"/>
              </w:rPr>
              <w:t>x</w:t>
            </w:r>
          </w:p>
        </w:tc>
        <w:tc>
          <w:tcPr>
            <w:tcW w:w="85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Wingdings" w:cs="Wingdings" w:eastAsia="Wingdings" w:hAnsi="Wingdings"/>
                <w:sz w:val="18"/>
                <w:szCs w:val="18"/>
                <w:b w:val="1"/>
                <w:bCs w:val="1"/>
                <w:color w:val="auto"/>
              </w:rPr>
              <w:t>o</w:t>
            </w:r>
          </w:p>
        </w:tc>
      </w:tr>
      <w:tr>
        <w:trPr>
          <w:trHeight w:val="392"/>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Check the appropriate box:</w:t>
            </w:r>
          </w:p>
        </w:tc>
        <w:tc>
          <w:tcPr>
            <w:tcW w:w="8560" w:type="dxa"/>
            <w:vAlign w:val="bottom"/>
          </w:tcPr>
          <w:p>
            <w:pPr>
              <w:spacing w:after="0"/>
              <w:rPr>
                <w:sz w:val="24"/>
                <w:szCs w:val="24"/>
                <w:color w:val="auto"/>
              </w:rPr>
            </w:pPr>
          </w:p>
        </w:tc>
      </w:tr>
    </w:tbl>
    <w:p>
      <w:pPr>
        <w:spacing w:after="0" w:line="238" w:lineRule="exact"/>
        <w:rPr>
          <w:sz w:val="24"/>
          <w:szCs w:val="24"/>
          <w:color w:val="auto"/>
        </w:rPr>
      </w:pPr>
    </w:p>
    <w:p>
      <w:pPr>
        <w:ind w:left="580" w:hanging="550"/>
        <w:spacing w:after="0"/>
        <w:tabs>
          <w:tab w:leader="none" w:pos="58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Preliminary Proxy Statement</w:t>
      </w:r>
    </w:p>
    <w:p>
      <w:pPr>
        <w:spacing w:after="0" w:line="113" w:lineRule="exact"/>
        <w:rPr>
          <w:rFonts w:ascii="Wingdings" w:cs="Wingdings" w:eastAsia="Wingdings" w:hAnsi="Wingdings"/>
          <w:sz w:val="18"/>
          <w:szCs w:val="18"/>
          <w:b w:val="1"/>
          <w:bCs w:val="1"/>
          <w:color w:val="auto"/>
        </w:rPr>
      </w:pPr>
    </w:p>
    <w:p>
      <w:pPr>
        <w:ind w:left="580" w:hanging="550"/>
        <w:spacing w:after="0"/>
        <w:tabs>
          <w:tab w:leader="none" w:pos="58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121" w:lineRule="exact"/>
        <w:rPr>
          <w:rFonts w:ascii="Wingdings" w:cs="Wingdings" w:eastAsia="Wingdings" w:hAnsi="Wingdings"/>
          <w:sz w:val="18"/>
          <w:szCs w:val="18"/>
          <w:b w:val="1"/>
          <w:bCs w:val="1"/>
          <w:color w:val="auto"/>
        </w:rPr>
      </w:pPr>
    </w:p>
    <w:p>
      <w:pPr>
        <w:ind w:left="580" w:hanging="550"/>
        <w:spacing w:after="0"/>
        <w:tabs>
          <w:tab w:leader="none" w:pos="58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Definitive Proxy Statement</w:t>
      </w:r>
    </w:p>
    <w:p>
      <w:pPr>
        <w:spacing w:after="0" w:line="117" w:lineRule="exact"/>
        <w:rPr>
          <w:sz w:val="24"/>
          <w:szCs w:val="24"/>
          <w:color w:val="auto"/>
        </w:rPr>
      </w:pPr>
    </w:p>
    <w:p>
      <w:pPr>
        <w:ind w:left="580" w:hanging="550"/>
        <w:spacing w:after="0"/>
        <w:tabs>
          <w:tab w:leader="none" w:pos="580" w:val="left"/>
        </w:tabs>
        <w:numPr>
          <w:ilvl w:val="0"/>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Definitive Additional Materials</w:t>
      </w:r>
    </w:p>
    <w:p>
      <w:pPr>
        <w:spacing w:after="0" w:line="117" w:lineRule="exact"/>
        <w:rPr>
          <w:sz w:val="24"/>
          <w:szCs w:val="24"/>
          <w:color w:val="auto"/>
        </w:rPr>
      </w:pPr>
    </w:p>
    <w:p>
      <w:pPr>
        <w:ind w:left="580" w:hanging="550"/>
        <w:spacing w:after="0"/>
        <w:tabs>
          <w:tab w:leader="none" w:pos="580" w:val="left"/>
        </w:tabs>
        <w:numPr>
          <w:ilvl w:val="0"/>
          <w:numId w:val="3"/>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Soliciting Material under §240.14a-12</w:t>
      </w:r>
    </w:p>
    <w:p>
      <w:pPr>
        <w:spacing w:after="0" w:line="2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CARIBOU BIOSCIENCES, INC.</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Registrant)</w:t>
      </w:r>
    </w:p>
    <w:p>
      <w:pPr>
        <w:spacing w:after="0" w:line="9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66" w:lineRule="exact"/>
        <w:rPr>
          <w:sz w:val="24"/>
          <w:szCs w:val="24"/>
          <w:color w:val="auto"/>
        </w:rPr>
      </w:pPr>
    </w:p>
    <w:p>
      <w:pPr>
        <w:ind w:left="580" w:hanging="550"/>
        <w:spacing w:after="0"/>
        <w:tabs>
          <w:tab w:leader="none" w:pos="580" w:val="left"/>
        </w:tabs>
        <w:numPr>
          <w:ilvl w:val="0"/>
          <w:numId w:val="4"/>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No fee required.</w:t>
      </w:r>
    </w:p>
    <w:p>
      <w:pPr>
        <w:spacing w:after="0" w:line="117" w:lineRule="exact"/>
        <w:rPr>
          <w:sz w:val="24"/>
          <w:szCs w:val="24"/>
          <w:color w:val="auto"/>
        </w:rPr>
      </w:pPr>
    </w:p>
    <w:p>
      <w:pPr>
        <w:ind w:left="580" w:hanging="550"/>
        <w:spacing w:after="0"/>
        <w:tabs>
          <w:tab w:leader="none" w:pos="580" w:val="left"/>
        </w:tabs>
        <w:numPr>
          <w:ilvl w:val="0"/>
          <w:numId w:val="5"/>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Fee paid previously with preliminary materials.</w:t>
      </w:r>
    </w:p>
    <w:p>
      <w:pPr>
        <w:spacing w:after="0" w:line="117" w:lineRule="exact"/>
        <w:rPr>
          <w:rFonts w:ascii="Wingdings" w:cs="Wingdings" w:eastAsia="Wingdings" w:hAnsi="Wingdings"/>
          <w:sz w:val="18"/>
          <w:szCs w:val="18"/>
          <w:b w:val="1"/>
          <w:bCs w:val="1"/>
          <w:color w:val="auto"/>
        </w:rPr>
      </w:pPr>
    </w:p>
    <w:p>
      <w:pPr>
        <w:ind w:left="580" w:hanging="550"/>
        <w:spacing w:after="0"/>
        <w:tabs>
          <w:tab w:leader="none" w:pos="580" w:val="left"/>
        </w:tabs>
        <w:numPr>
          <w:ilvl w:val="0"/>
          <w:numId w:val="5"/>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Fee computed on table in exhibit required by Item 25(b) per Exchange Act Rules 14a-6(i)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1049020</wp:posOffset>
            </wp:positionV>
            <wp:extent cx="2057400" cy="6172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2057400"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6760"/>
        <w:spacing w:after="0"/>
        <w:rPr>
          <w:sz w:val="20"/>
          <w:szCs w:val="20"/>
          <w:color w:val="auto"/>
        </w:rPr>
      </w:pPr>
      <w:r>
        <w:rPr>
          <w:rFonts w:ascii="Arial" w:cs="Arial" w:eastAsia="Arial" w:hAnsi="Arial"/>
          <w:sz w:val="17"/>
          <w:szCs w:val="17"/>
          <w:color w:val="auto"/>
        </w:rPr>
        <w:t>2929 7TH STREET, SUITE 105, BERKELEY, CA, 94710</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YOUR VOTE MATTERS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PLEASE VOTE YOUR PROXY TODAY</w:t>
      </w:r>
    </w:p>
    <w:p>
      <w:pPr>
        <w:spacing w:after="0" w:line="1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June 5, 2026</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Dear Caribou Biosciences, Inc. Stockholder:</w:t>
      </w:r>
    </w:p>
    <w:p>
      <w:pPr>
        <w:spacing w:after="0" w:line="200" w:lineRule="exact"/>
        <w:rPr>
          <w:sz w:val="20"/>
          <w:szCs w:val="20"/>
          <w:color w:val="auto"/>
        </w:rPr>
      </w:pPr>
    </w:p>
    <w:p>
      <w:pPr>
        <w:spacing w:after="0" w:line="241" w:lineRule="exact"/>
        <w:rPr>
          <w:sz w:val="20"/>
          <w:szCs w:val="20"/>
          <w:color w:val="auto"/>
        </w:rPr>
      </w:pPr>
    </w:p>
    <w:p>
      <w:pPr>
        <w:jc w:val="both"/>
        <w:ind w:right="160"/>
        <w:spacing w:after="0" w:line="268" w:lineRule="auto"/>
        <w:rPr>
          <w:sz w:val="20"/>
          <w:szCs w:val="20"/>
          <w:color w:val="auto"/>
        </w:rPr>
      </w:pPr>
      <w:r>
        <w:rPr>
          <w:rFonts w:ascii="Arial" w:cs="Arial" w:eastAsia="Arial" w:hAnsi="Arial"/>
          <w:sz w:val="18"/>
          <w:szCs w:val="18"/>
          <w:color w:val="auto"/>
        </w:rPr>
        <w:t xml:space="preserve">We recently sent you proxy materials for the Annual Meeting of Stockholders of Caribou Biosciences, Inc. scheduled to take place on June 17, 2026. Our recent records show that you have not yet voted your shares. </w:t>
      </w:r>
      <w:r>
        <w:rPr>
          <w:rFonts w:ascii="Arial" w:cs="Arial" w:eastAsia="Arial" w:hAnsi="Arial"/>
          <w:sz w:val="18"/>
          <w:szCs w:val="18"/>
          <w:b w:val="1"/>
          <w:bCs w:val="1"/>
          <w:color w:val="auto"/>
        </w:rPr>
        <w:t>Your vote is very important.</w:t>
      </w:r>
      <w:r>
        <w:rPr>
          <w:rFonts w:ascii="Arial" w:cs="Arial" w:eastAsia="Arial" w:hAnsi="Arial"/>
          <w:sz w:val="18"/>
          <w:szCs w:val="18"/>
          <w:color w:val="auto"/>
        </w:rPr>
        <w:t xml:space="preserve"> Please take one moment of your time to participate in the voting for this important meeting.</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recommends that you vote “FOR” the following proposals:</w:t>
      </w:r>
    </w:p>
    <w:p>
      <w:pPr>
        <w:spacing w:after="0" w:line="185" w:lineRule="exact"/>
        <w:rPr>
          <w:sz w:val="20"/>
          <w:szCs w:val="20"/>
          <w:color w:val="auto"/>
        </w:rPr>
      </w:pPr>
    </w:p>
    <w:p>
      <w:pPr>
        <w:ind w:left="280" w:hanging="272"/>
        <w:spacing w:after="0"/>
        <w:tabs>
          <w:tab w:leader="none" w:pos="2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To elect Andrew Guggenhime, M.B.A., David Johnson, M.B.A., and Nancy Whiting, Pharm.D., as Class II directors</w:t>
      </w:r>
    </w:p>
    <w:p>
      <w:pPr>
        <w:spacing w:after="0" w:line="198" w:lineRule="exact"/>
        <w:rPr>
          <w:rFonts w:ascii="Arial" w:cs="Arial" w:eastAsia="Arial" w:hAnsi="Arial"/>
          <w:sz w:val="18"/>
          <w:szCs w:val="18"/>
          <w:b w:val="1"/>
          <w:bCs w:val="1"/>
          <w:color w:val="auto"/>
        </w:rPr>
      </w:pPr>
    </w:p>
    <w:p>
      <w:pPr>
        <w:ind w:right="500" w:firstLine="8"/>
        <w:spacing w:after="0" w:line="296" w:lineRule="auto"/>
        <w:tabs>
          <w:tab w:leader="none" w:pos="27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To ratify the appointment of Deloitte &amp; Touche LLP as our independent registered public accounting firm for the fiscal year ending December 31, 2026</w:t>
      </w:r>
    </w:p>
    <w:p>
      <w:pPr>
        <w:spacing w:after="0" w:line="96" w:lineRule="exact"/>
        <w:rPr>
          <w:rFonts w:ascii="Arial" w:cs="Arial" w:eastAsia="Arial" w:hAnsi="Arial"/>
          <w:sz w:val="18"/>
          <w:szCs w:val="18"/>
          <w:b w:val="1"/>
          <w:bCs w:val="1"/>
          <w:color w:val="auto"/>
        </w:rPr>
      </w:pPr>
    </w:p>
    <w:p>
      <w:pPr>
        <w:ind w:right="320" w:firstLine="8"/>
        <w:spacing w:after="0" w:line="273" w:lineRule="auto"/>
        <w:tabs>
          <w:tab w:leader="none" w:pos="27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To approve an amendment to our amended and restated certificate of incorporation to provide for exculpation of our officers from certain breaches of fiduciary duty to the fullest extent permitted by the Delaware General Corporation Law (“Officer Exculpation Proposal”)</w:t>
      </w:r>
    </w:p>
    <w:p>
      <w:pPr>
        <w:spacing w:after="0" w:line="117" w:lineRule="exact"/>
        <w:rPr>
          <w:rFonts w:ascii="Arial" w:cs="Arial" w:eastAsia="Arial" w:hAnsi="Arial"/>
          <w:sz w:val="18"/>
          <w:szCs w:val="18"/>
          <w:b w:val="1"/>
          <w:bCs w:val="1"/>
          <w:color w:val="auto"/>
        </w:rPr>
      </w:pPr>
    </w:p>
    <w:p>
      <w:pPr>
        <w:ind w:right="320" w:firstLine="8"/>
        <w:spacing w:after="0" w:line="273" w:lineRule="auto"/>
        <w:tabs>
          <w:tab w:leader="none" w:pos="27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To approve of any adjournment of the 2026 Annual Meeting to a later date or dates, if necessary, to permit further solicitation and voting of proxies in the event there are not sufficient votes in favor of proposal 3 above or if there are not sufficient shares present to establish a quorum (“Adjournment Proposal”)</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Internet and telephone voting are available for your convenience and represent the most prompt methods to record your vote.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Please follow the instructions on the proxy card or voting instruction form sent to you in order to vote electronically.</w:t>
      </w:r>
    </w:p>
    <w:p>
      <w:pPr>
        <w:spacing w:after="0" w:line="167"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b w:val="1"/>
          <w:bCs w:val="1"/>
          <w:color w:val="auto"/>
        </w:rPr>
        <w:t xml:space="preserve">Please vote your shares today. </w:t>
      </w:r>
      <w:r>
        <w:rPr>
          <w:rFonts w:ascii="Arial" w:cs="Arial" w:eastAsia="Arial" w:hAnsi="Arial"/>
          <w:sz w:val="18"/>
          <w:szCs w:val="18"/>
          <w:color w:val="auto"/>
        </w:rPr>
        <w:t>If you need assistance voting your shares, please contact D.F. King &amp; Co., Inc., which is assisting us, toll</w:t>
      </w:r>
      <w:r>
        <w:rPr>
          <w:rFonts w:ascii="Arial" w:cs="Arial" w:eastAsia="Arial" w:hAnsi="Arial"/>
          <w:sz w:val="18"/>
          <w:szCs w:val="18"/>
          <w:b w:val="1"/>
          <w:bCs w:val="1"/>
          <w:color w:val="auto"/>
        </w:rPr>
        <w:t xml:space="preserve"> </w:t>
      </w:r>
      <w:r>
        <w:rPr>
          <w:rFonts w:ascii="Arial" w:cs="Arial" w:eastAsia="Arial" w:hAnsi="Arial"/>
          <w:sz w:val="18"/>
          <w:szCs w:val="18"/>
          <w:color w:val="auto"/>
        </w:rPr>
        <w:t>free at 1-866-207-2356</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On behalf of your Board of Directors, thank you for your participation and continued support.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/s/ Rachel E. Haurwitz, Ph.D.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Rachel E. Haurwitz, Ph.D.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President, Chief Executive Officer, and Director</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o"/>
      <w:numFmt w:val="bullet"/>
      <w:start w:val="1"/>
    </w:lvl>
  </w:abstractNum>
  <w:abstractNum w:abstractNumId="1">
    <w:nsid w:val="625558EC"/>
    <w:multiLevelType w:val="hybridMultilevel"/>
    <w:lvl w:ilvl="0">
      <w:lvlJc w:val="left"/>
      <w:lvlText w:val="x"/>
      <w:numFmt w:val="bullet"/>
      <w:start w:val="1"/>
    </w:lvl>
  </w:abstractNum>
  <w:abstractNum w:abstractNumId="2">
    <w:nsid w:val="238E1F29"/>
    <w:multiLevelType w:val="hybridMultilevel"/>
    <w:lvl w:ilvl="0">
      <w:lvlJc w:val="left"/>
      <w:lvlText w:val="o"/>
      <w:numFmt w:val="bullet"/>
      <w:start w:val="1"/>
    </w:lvl>
  </w:abstractNum>
  <w:abstractNum w:abstractNumId="3">
    <w:nsid w:val="46E87CCD"/>
    <w:multiLevelType w:val="hybridMultilevel"/>
    <w:lvl w:ilvl="0">
      <w:lvlJc w:val="left"/>
      <w:lvlText w:val="x"/>
      <w:numFmt w:val="bullet"/>
      <w:start w:val="1"/>
    </w:lvl>
  </w:abstractNum>
  <w:abstractNum w:abstractNumId="4">
    <w:nsid w:val="3D1B58BA"/>
    <w:multiLevelType w:val="hybridMultilevel"/>
    <w:lvl w:ilvl="0">
      <w:lvlJc w:val="left"/>
      <w:lvlText w:val="o"/>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2026-06-05T15:03:39Z</dcterms:created>
  <dcterms:modified xsi:type="dcterms:W3CDTF">2026-06-05T15:03:39Z</dcterms:modified>
</cp:coreProperties>
</file>