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88" w:before="0" w:after="0"/>
        <w:jc w:val="left"/>
        <w:rPr/>
      </w:pPr>
      <w:hyperlink w:anchor="i7f5619487a1149c59a3dd36fee75a584_7">
        <w:r>
          <w:rPr>
            <w:rStyle w:val="InternetLink"/>
            <w:rFonts w:ascii="Times New Roman;serif" w:hAnsi="Times New Roman;serif"/>
            <w:b w:val="false"/>
            <w:color w:val="0000FF"/>
            <w:sz w:val="20"/>
            <w:u w:val="single"/>
          </w:rPr>
          <w:t>Table of Contents</w:t>
        </w:r>
      </w:hyperlink>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0" w:after="283"/>
        <w:jc w:val="center"/>
        <w:rPr>
          <w:rFonts w:ascii="Times New Roman;serif" w:hAnsi="Times New Roman;serif"/>
          <w:b/>
          <w:color w:val="000000"/>
          <w:sz w:val="32"/>
        </w:rPr>
      </w:pPr>
      <w:r>
        <w:rPr>
          <w:rFonts w:ascii="Times New Roman;serif" w:hAnsi="Times New Roman;serif"/>
          <w:b/>
          <w:color w:val="000000"/>
          <w:sz w:val="32"/>
        </w:rPr>
        <w:t>UNITED STATES</w:t>
      </w:r>
    </w:p>
    <w:p>
      <w:pPr>
        <w:pStyle w:val="TextBody"/>
        <w:bidi w:val="0"/>
        <w:spacing w:lineRule="auto" w:line="288" w:before="0" w:after="0"/>
        <w:jc w:val="center"/>
        <w:rPr>
          <w:rFonts w:ascii="Times New Roman;serif" w:hAnsi="Times New Roman;serif"/>
          <w:b/>
          <w:color w:val="000000"/>
          <w:sz w:val="32"/>
        </w:rPr>
      </w:pPr>
      <w:r>
        <w:rPr>
          <w:rFonts w:ascii="Times New Roman;serif" w:hAnsi="Times New Roman;serif"/>
          <w:b/>
          <w:color w:val="000000"/>
          <w:sz w:val="32"/>
        </w:rPr>
        <w:t>SECURITIES AND EXCHANGE COMMISSION</w: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WASHINGTON, DC 20549</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______________________________________</w:t>
      </w:r>
    </w:p>
    <w:p>
      <w:pPr>
        <w:pStyle w:val="TextBody"/>
        <w:bidi w:val="0"/>
        <w:spacing w:lineRule="auto" w:line="288" w:before="200" w:after="283"/>
        <w:jc w:val="center"/>
        <w:rPr>
          <w:rFonts w:ascii="Times New Roman;serif" w:hAnsi="Times New Roman;serif"/>
          <w:b/>
          <w:color w:val="000000"/>
          <w:sz w:val="32"/>
        </w:rPr>
      </w:pPr>
      <w:r>
        <w:rPr>
          <w:rFonts w:ascii="Times New Roman;serif" w:hAnsi="Times New Roman;serif"/>
          <w:b/>
          <w:color w:val="000000"/>
          <w:sz w:val="32"/>
        </w:rPr>
        <w:t>FORM 10-Q</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______________________________________</w:t>
      </w:r>
    </w:p>
    <w:p>
      <w:pPr>
        <w:pStyle w:val="TextBody"/>
        <w:bidi w:val="0"/>
        <w:spacing w:lineRule="auto" w:line="288" w:before="60" w:after="283"/>
        <w:jc w:val="left"/>
        <w:rPr>
          <w:rFonts w:ascii="Times New Roman;serif" w:hAnsi="Times New Roman;serif"/>
          <w:b/>
          <w:color w:val="000000"/>
          <w:sz w:val="16"/>
        </w:rPr>
      </w:pPr>
      <w:r>
        <w:rPr>
          <w:rFonts w:ascii="Times New Roman;serif" w:hAnsi="Times New Roman;serif"/>
          <w:b/>
          <w:color w:val="000000"/>
          <w:sz w:val="16"/>
        </w:rPr>
        <w:t>(Mark One)</w:t>
      </w:r>
    </w:p>
    <w:tbl>
      <w:tblPr>
        <w:tblW w:w="9026" w:type="dxa"/>
        <w:jc w:val="left"/>
        <w:tblInd w:w="0" w:type="dxa"/>
        <w:tblLayout w:type="fixed"/>
        <w:tblCellMar>
          <w:top w:w="28" w:type="dxa"/>
          <w:left w:w="28" w:type="dxa"/>
          <w:bottom w:w="28" w:type="dxa"/>
          <w:right w:w="28" w:type="dxa"/>
        </w:tblCellMar>
      </w:tblPr>
      <w:tblGrid>
        <w:gridCol w:w="124"/>
        <w:gridCol w:w="109"/>
        <w:gridCol w:w="109"/>
        <w:gridCol w:w="2538"/>
        <w:gridCol w:w="2538"/>
        <w:gridCol w:w="3608"/>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38" w:type="dxa"/>
            <w:tcBorders/>
            <w:vAlign w:val="center"/>
          </w:tcPr>
          <w:p>
            <w:pPr>
              <w:pStyle w:val="TableContents"/>
              <w:bidi w:val="0"/>
              <w:spacing w:before="0" w:after="283"/>
              <w:jc w:val="left"/>
              <w:rPr>
                <w:sz w:val="4"/>
                <w:szCs w:val="4"/>
              </w:rPr>
            </w:pPr>
            <w:r>
              <w:rPr>
                <w:sz w:val="4"/>
                <w:szCs w:val="4"/>
              </w:rPr>
            </w:r>
          </w:p>
        </w:tc>
        <w:tc>
          <w:tcPr>
            <w:tcW w:w="2538" w:type="dxa"/>
            <w:tcBorders/>
            <w:vAlign w:val="center"/>
          </w:tcPr>
          <w:p>
            <w:pPr>
              <w:pStyle w:val="TableContents"/>
              <w:bidi w:val="0"/>
              <w:spacing w:before="0" w:after="283"/>
              <w:jc w:val="left"/>
              <w:rPr>
                <w:sz w:val="4"/>
                <w:szCs w:val="4"/>
              </w:rPr>
            </w:pPr>
            <w:r>
              <w:rPr>
                <w:sz w:val="4"/>
                <w:szCs w:val="4"/>
              </w:rPr>
            </w:r>
          </w:p>
        </w:tc>
        <w:tc>
          <w:tcPr>
            <w:tcW w:w="3608"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52" w:before="0" w:after="283"/>
              <w:jc w:val="left"/>
              <w:rPr>
                <w:rFonts w:ascii="Wingdings;sans-serif" w:hAnsi="Wingdings;sans-serif"/>
                <w:b/>
                <w:color w:val="000000"/>
                <w:sz w:val="16"/>
              </w:rPr>
            </w:pPr>
            <w:r>
              <w:rPr>
                <w:rFonts w:ascii="Wingdings;sans-serif" w:hAnsi="Wingdings;sans-serif"/>
                <w:b/>
                <w:color w:val="000000"/>
                <w:sz w:val="16"/>
              </w:rPr>
              <w:t>x</w:t>
            </w:r>
          </w:p>
        </w:tc>
        <w:tc>
          <w:tcPr>
            <w:tcW w:w="8684" w:type="dxa"/>
            <w:gridSpan w:val="3"/>
            <w:tcBorders/>
            <w:tcMar>
              <w:top w:w="0" w:type="dxa"/>
              <w:left w:w="0" w:type="dxa"/>
              <w:bottom w:w="0" w:type="dxa"/>
              <w:right w:w="0" w:type="dxa"/>
            </w:tcMar>
            <w:vAlign w:val="center"/>
          </w:tcPr>
          <w:p>
            <w:pPr>
              <w:pStyle w:val="TableContents"/>
              <w:bidi w:val="0"/>
              <w:spacing w:lineRule="auto" w:line="252" w:before="0" w:after="283"/>
              <w:jc w:val="left"/>
              <w:rPr>
                <w:rFonts w:ascii="Times New Roman;serif" w:hAnsi="Times New Roman;serif"/>
                <w:b/>
                <w:color w:val="000000"/>
                <w:sz w:val="16"/>
              </w:rPr>
            </w:pPr>
            <w:r>
              <w:rPr>
                <w:rFonts w:ascii="Times New Roman;serif" w:hAnsi="Times New Roman;serif"/>
                <w:b/>
                <w:color w:val="000000"/>
                <w:sz w:val="16"/>
              </w:rPr>
              <w:t>QUARTERLY REPORT PURSUANT TO SECTION 13 OR 15(d) OF THE SECURITIES EXCHANGE ACT OF 1934</w:t>
            </w:r>
          </w:p>
        </w:tc>
      </w:tr>
    </w:tbl>
    <w:p>
      <w:pPr>
        <w:pStyle w:val="TextBody"/>
        <w:bidi w:val="0"/>
        <w:spacing w:lineRule="auto" w:line="288" w:before="60" w:after="283"/>
        <w:jc w:val="center"/>
        <w:rPr>
          <w:rFonts w:ascii="Times New Roman;serif" w:hAnsi="Times New Roman;serif"/>
          <w:b/>
          <w:color w:val="000000"/>
          <w:sz w:val="20"/>
        </w:rPr>
      </w:pPr>
      <w:r>
        <w:rPr>
          <w:rFonts w:ascii="Times New Roman;serif" w:hAnsi="Times New Roman;serif"/>
          <w:b/>
          <w:color w:val="000000"/>
          <w:sz w:val="20"/>
        </w:rPr>
        <w:t>For the quarterly period ended March 31, 2026</w:t>
      </w:r>
    </w:p>
    <w:p>
      <w:pPr>
        <w:pStyle w:val="TextBody"/>
        <w:bidi w:val="0"/>
        <w:spacing w:lineRule="auto" w:line="288" w:before="60" w:after="283"/>
        <w:jc w:val="center"/>
        <w:rPr>
          <w:rFonts w:ascii="Times New Roman;serif" w:hAnsi="Times New Roman;serif"/>
          <w:b/>
          <w:color w:val="000000"/>
          <w:sz w:val="20"/>
        </w:rPr>
      </w:pPr>
      <w:r>
        <w:rPr>
          <w:rFonts w:ascii="Times New Roman;serif" w:hAnsi="Times New Roman;serif"/>
          <w:b/>
          <w:color w:val="000000"/>
          <w:sz w:val="20"/>
        </w:rPr>
        <w:t>OR</w:t>
      </w:r>
    </w:p>
    <w:tbl>
      <w:tblPr>
        <w:tblW w:w="9011" w:type="dxa"/>
        <w:jc w:val="left"/>
        <w:tblInd w:w="0" w:type="dxa"/>
        <w:tblLayout w:type="fixed"/>
        <w:tblCellMar>
          <w:top w:w="28" w:type="dxa"/>
          <w:left w:w="28" w:type="dxa"/>
          <w:bottom w:w="28" w:type="dxa"/>
          <w:right w:w="28" w:type="dxa"/>
        </w:tblCellMar>
      </w:tblPr>
      <w:tblGrid>
        <w:gridCol w:w="124"/>
        <w:gridCol w:w="109"/>
        <w:gridCol w:w="109"/>
        <w:gridCol w:w="2536"/>
        <w:gridCol w:w="2536"/>
        <w:gridCol w:w="3597"/>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36" w:type="dxa"/>
            <w:tcBorders/>
            <w:vAlign w:val="center"/>
          </w:tcPr>
          <w:p>
            <w:pPr>
              <w:pStyle w:val="TableContents"/>
              <w:bidi w:val="0"/>
              <w:spacing w:before="0" w:after="283"/>
              <w:jc w:val="left"/>
              <w:rPr>
                <w:sz w:val="4"/>
                <w:szCs w:val="4"/>
              </w:rPr>
            </w:pPr>
            <w:r>
              <w:rPr>
                <w:sz w:val="4"/>
                <w:szCs w:val="4"/>
              </w:rPr>
            </w:r>
          </w:p>
        </w:tc>
        <w:tc>
          <w:tcPr>
            <w:tcW w:w="2536" w:type="dxa"/>
            <w:tcBorders/>
            <w:vAlign w:val="center"/>
          </w:tcPr>
          <w:p>
            <w:pPr>
              <w:pStyle w:val="TableContents"/>
              <w:bidi w:val="0"/>
              <w:spacing w:before="0" w:after="283"/>
              <w:jc w:val="left"/>
              <w:rPr>
                <w:sz w:val="4"/>
                <w:szCs w:val="4"/>
              </w:rPr>
            </w:pPr>
            <w:r>
              <w:rPr>
                <w:sz w:val="4"/>
                <w:szCs w:val="4"/>
              </w:rPr>
            </w:r>
          </w:p>
        </w:tc>
        <w:tc>
          <w:tcPr>
            <w:tcW w:w="3597"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52" w:before="0" w:after="283"/>
              <w:jc w:val="left"/>
              <w:rPr>
                <w:rFonts w:ascii="Wingdings;sans-serif" w:hAnsi="Wingdings;sans-serif"/>
                <w:b/>
                <w:color w:val="000000"/>
                <w:sz w:val="16"/>
              </w:rPr>
            </w:pPr>
            <w:r>
              <w:rPr>
                <w:rFonts w:ascii="Wingdings;sans-serif" w:hAnsi="Wingdings;sans-serif"/>
                <w:b/>
                <w:color w:val="000000"/>
                <w:sz w:val="16"/>
              </w:rPr>
              <w:t>o</w:t>
            </w:r>
          </w:p>
        </w:tc>
        <w:tc>
          <w:tcPr>
            <w:tcW w:w="8669" w:type="dxa"/>
            <w:gridSpan w:val="3"/>
            <w:tcBorders/>
            <w:tcMar>
              <w:top w:w="0" w:type="dxa"/>
              <w:left w:w="0" w:type="dxa"/>
              <w:bottom w:w="0" w:type="dxa"/>
              <w:right w:w="0" w:type="dxa"/>
            </w:tcMar>
            <w:vAlign w:val="center"/>
          </w:tcPr>
          <w:p>
            <w:pPr>
              <w:pStyle w:val="TableContents"/>
              <w:bidi w:val="0"/>
              <w:spacing w:lineRule="auto" w:line="252" w:before="0" w:after="283"/>
              <w:jc w:val="left"/>
              <w:rPr>
                <w:rFonts w:ascii="Times New Roman;serif" w:hAnsi="Times New Roman;serif"/>
                <w:b/>
                <w:color w:val="000000"/>
                <w:sz w:val="16"/>
              </w:rPr>
            </w:pPr>
            <w:r>
              <w:rPr>
                <w:rFonts w:ascii="Times New Roman;serif" w:hAnsi="Times New Roman;serif"/>
                <w:b/>
                <w:color w:val="000000"/>
                <w:sz w:val="16"/>
              </w:rPr>
              <w:t>TRANSITION REPORT PURSUANT TO SECTION 13 OR 15(d) OF THE SECURITIES EXCHANGE ACT OF 1934</w:t>
            </w:r>
          </w:p>
        </w:tc>
      </w:tr>
    </w:tbl>
    <w:p>
      <w:pPr>
        <w:pStyle w:val="TextBody"/>
        <w:bidi w:val="0"/>
        <w:spacing w:lineRule="auto" w:line="288" w:before="60" w:after="283"/>
        <w:jc w:val="center"/>
        <w:rPr>
          <w:rFonts w:ascii="Times New Roman;serif" w:hAnsi="Times New Roman;serif"/>
          <w:b/>
          <w:color w:val="000000"/>
          <w:sz w:val="20"/>
        </w:rPr>
      </w:pPr>
      <w:r>
        <w:rPr>
          <w:rFonts w:ascii="Times New Roman;serif" w:hAnsi="Times New Roman;serif"/>
          <w:b/>
          <w:color w:val="000000"/>
          <w:sz w:val="20"/>
        </w:rPr>
        <w:t xml:space="preserve">For the transition period from to </w:t>
      </w:r>
    </w:p>
    <w:p>
      <w:pPr>
        <w:pStyle w:val="TextBody"/>
        <w:bidi w:val="0"/>
        <w:spacing w:lineRule="auto" w:line="288" w:before="60" w:after="283"/>
        <w:jc w:val="center"/>
        <w:rPr>
          <w:rFonts w:ascii="Times New Roman;serif" w:hAnsi="Times New Roman;serif"/>
          <w:b/>
          <w:color w:val="000000"/>
          <w:sz w:val="20"/>
        </w:rPr>
      </w:pPr>
      <w:r>
        <w:rPr>
          <w:rFonts w:ascii="Times New Roman;serif" w:hAnsi="Times New Roman;serif"/>
          <w:b/>
          <w:color w:val="000000"/>
          <w:sz w:val="20"/>
        </w:rPr>
        <w:t>Commission File Number: 001-40631</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______________________________________</w:t>
      </w:r>
    </w:p>
    <w:p>
      <w:pPr>
        <w:pStyle w:val="TextBody"/>
        <w:bidi w:val="0"/>
        <w:spacing w:lineRule="auto" w:line="288" w:before="160" w:after="283"/>
        <w:jc w:val="center"/>
        <w:rPr>
          <w:rFonts w:ascii="Times New Roman;serif" w:hAnsi="Times New Roman;serif"/>
          <w:b/>
          <w:color w:val="000000"/>
          <w:sz w:val="40"/>
        </w:rPr>
      </w:pPr>
      <w:r>
        <w:rPr>
          <w:rFonts w:ascii="Times New Roman;serif" w:hAnsi="Times New Roman;serif"/>
          <w:b/>
          <w:color w:val="000000"/>
          <w:sz w:val="40"/>
        </w:rPr>
        <w:t>Caribou Biosciences, Inc.</w:t>
      </w:r>
    </w:p>
    <w:p>
      <w:pPr>
        <w:pStyle w:val="TextBody"/>
        <w:bidi w:val="0"/>
        <w:spacing w:lineRule="auto" w:line="288" w:before="60" w:after="283"/>
        <w:jc w:val="center"/>
        <w:rPr>
          <w:rFonts w:ascii="Times New Roman;serif" w:hAnsi="Times New Roman;serif"/>
          <w:b/>
          <w:color w:val="000000"/>
          <w:sz w:val="20"/>
        </w:rPr>
      </w:pPr>
      <w:r>
        <w:rPr>
          <w:rFonts w:ascii="Times New Roman;serif" w:hAnsi="Times New Roman;serif"/>
          <w:b/>
          <w:color w:val="000000"/>
          <w:sz w:val="20"/>
        </w:rPr>
        <w:t>(Exact Name of Registrant as Specified in its Charter)</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______________________________________</w:t>
      </w:r>
    </w:p>
    <w:tbl>
      <w:tblPr>
        <w:tblW w:w="4000" w:type="dxa"/>
        <w:jc w:val="left"/>
        <w:tblInd w:w="0" w:type="dxa"/>
        <w:tblLayout w:type="fixed"/>
        <w:tblCellMar>
          <w:top w:w="28" w:type="dxa"/>
          <w:left w:w="28" w:type="dxa"/>
          <w:bottom w:w="28" w:type="dxa"/>
          <w:right w:w="28" w:type="dxa"/>
        </w:tblCellMar>
      </w:tblPr>
      <w:tblGrid>
        <w:gridCol w:w="877"/>
        <w:gridCol w:w="771"/>
        <w:gridCol w:w="781"/>
        <w:gridCol w:w="109"/>
        <w:gridCol w:w="109"/>
        <w:gridCol w:w="109"/>
        <w:gridCol w:w="363"/>
        <w:gridCol w:w="363"/>
        <w:gridCol w:w="518"/>
      </w:tblGrid>
      <w:tr>
        <w:trPr/>
        <w:tc>
          <w:tcPr>
            <w:tcW w:w="877" w:type="dxa"/>
            <w:tcBorders/>
            <w:vAlign w:val="center"/>
          </w:tcPr>
          <w:p>
            <w:pPr>
              <w:pStyle w:val="TableContents"/>
              <w:bidi w:val="0"/>
              <w:spacing w:before="0" w:after="283"/>
              <w:jc w:val="left"/>
              <w:rPr>
                <w:sz w:val="4"/>
                <w:szCs w:val="4"/>
              </w:rPr>
            </w:pPr>
            <w:r>
              <w:rPr>
                <w:sz w:val="4"/>
                <w:szCs w:val="4"/>
              </w:rPr>
            </w:r>
          </w:p>
        </w:tc>
        <w:tc>
          <w:tcPr>
            <w:tcW w:w="77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3" w:type="dxa"/>
            <w:tcBorders/>
            <w:vAlign w:val="center"/>
          </w:tcPr>
          <w:p>
            <w:pPr>
              <w:pStyle w:val="TableContents"/>
              <w:bidi w:val="0"/>
              <w:spacing w:before="0" w:after="283"/>
              <w:jc w:val="left"/>
              <w:rPr>
                <w:sz w:val="4"/>
                <w:szCs w:val="4"/>
              </w:rPr>
            </w:pPr>
            <w:r>
              <w:rPr>
                <w:sz w:val="4"/>
                <w:szCs w:val="4"/>
              </w:rPr>
            </w:r>
          </w:p>
        </w:tc>
        <w:tc>
          <w:tcPr>
            <w:tcW w:w="363" w:type="dxa"/>
            <w:tcBorders/>
            <w:vAlign w:val="center"/>
          </w:tcPr>
          <w:p>
            <w:pPr>
              <w:pStyle w:val="TableContents"/>
              <w:bidi w:val="0"/>
              <w:spacing w:before="0" w:after="283"/>
              <w:jc w:val="left"/>
              <w:rPr>
                <w:sz w:val="4"/>
                <w:szCs w:val="4"/>
              </w:rPr>
            </w:pPr>
            <w:r>
              <w:rPr>
                <w:sz w:val="4"/>
                <w:szCs w:val="4"/>
              </w:rPr>
            </w:r>
          </w:p>
        </w:tc>
        <w:tc>
          <w:tcPr>
            <w:tcW w:w="518" w:type="dxa"/>
            <w:tcBorders/>
            <w:vAlign w:val="center"/>
          </w:tcPr>
          <w:p>
            <w:pPr>
              <w:pStyle w:val="TableContents"/>
              <w:bidi w:val="0"/>
              <w:spacing w:before="0" w:after="283"/>
              <w:jc w:val="left"/>
              <w:rPr>
                <w:sz w:val="4"/>
                <w:szCs w:val="4"/>
              </w:rPr>
            </w:pPr>
            <w:r>
              <w:rPr>
                <w:sz w:val="4"/>
                <w:szCs w:val="4"/>
              </w:rPr>
            </w:r>
          </w:p>
        </w:tc>
      </w:tr>
      <w:tr>
        <w:trPr/>
        <w:tc>
          <w:tcPr>
            <w:tcW w:w="2429" w:type="dxa"/>
            <w:gridSpan w:val="3"/>
            <w:tcBorders/>
            <w:tcMar>
              <w:top w:w="0" w:type="dxa"/>
              <w:left w:w="0" w:type="dxa"/>
              <w:bottom w:w="0" w:type="dxa"/>
              <w:right w:w="0" w:type="dxa"/>
            </w:tcMar>
            <w:vAlign w:val="center"/>
          </w:tcPr>
          <w:p>
            <w:pPr>
              <w:pStyle w:val="TableContents"/>
              <w:bidi w:val="0"/>
              <w:spacing w:lineRule="auto" w:line="252" w:before="0" w:after="283"/>
              <w:jc w:val="center"/>
              <w:rPr>
                <w:rFonts w:ascii="Times New Roman;serif" w:hAnsi="Times New Roman;serif"/>
                <w:b/>
                <w:color w:val="000000"/>
                <w:sz w:val="20"/>
              </w:rPr>
            </w:pPr>
            <w:r>
              <w:rPr>
                <w:rFonts w:ascii="Times New Roman;serif" w:hAnsi="Times New Roman;serif"/>
                <w:b/>
                <w:color w:val="000000"/>
                <w:sz w:val="20"/>
              </w:rPr>
              <w:t>Delaware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4" w:type="dxa"/>
            <w:gridSpan w:val="3"/>
            <w:tcBorders/>
            <w:tcMar>
              <w:top w:w="0" w:type="dxa"/>
              <w:left w:w="0" w:type="dxa"/>
              <w:bottom w:w="0" w:type="dxa"/>
              <w:right w:w="0" w:type="dxa"/>
            </w:tcMar>
            <w:vAlign w:val="center"/>
          </w:tcPr>
          <w:p>
            <w:pPr>
              <w:pStyle w:val="TableContents"/>
              <w:bidi w:val="0"/>
              <w:spacing w:lineRule="auto" w:line="252" w:before="0" w:after="283"/>
              <w:jc w:val="center"/>
              <w:rPr>
                <w:rFonts w:ascii="Times New Roman;serif" w:hAnsi="Times New Roman;serif"/>
                <w:b/>
                <w:color w:val="000000"/>
                <w:sz w:val="20"/>
              </w:rPr>
            </w:pPr>
            <w:r>
              <w:rPr>
                <w:rFonts w:ascii="Times New Roman;serif" w:hAnsi="Times New Roman;serif"/>
                <w:b/>
                <w:color w:val="000000"/>
                <w:sz w:val="20"/>
              </w:rPr>
              <w:t>45-3728228</w:t>
            </w:r>
          </w:p>
        </w:tc>
      </w:tr>
      <w:tr>
        <w:trPr/>
        <w:tc>
          <w:tcPr>
            <w:tcW w:w="242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4"/>
              </w:rPr>
            </w:pPr>
            <w:r>
              <w:rPr>
                <w:rFonts w:ascii="Times New Roman;serif" w:hAnsi="Times New Roman;serif"/>
                <w:b/>
                <w:color w:val="000000"/>
                <w:sz w:val="14"/>
              </w:rPr>
              <w:t xml:space="preserve">(State or other jurisdiction of </w:t>
              <w:br/>
              <w:t>incorporation or organization)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4"/>
              </w:rPr>
            </w:pPr>
            <w:r>
              <w:rPr>
                <w:rFonts w:ascii="Times New Roman;serif" w:hAnsi="Times New Roman;serif"/>
                <w:b/>
                <w:color w:val="000000"/>
                <w:sz w:val="14"/>
              </w:rPr>
              <w:t>(I.R.S. Employer</w:t>
              <w:br/>
              <w:t>Identification No.)</w:t>
            </w:r>
          </w:p>
        </w:tc>
      </w:tr>
      <w:tr>
        <w:trPr/>
        <w:tc>
          <w:tcPr>
            <w:tcW w:w="24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29" w:type="dxa"/>
            <w:gridSpan w:val="3"/>
            <w:tcBorders/>
            <w:tcMar>
              <w:top w:w="0" w:type="dxa"/>
              <w:left w:w="0" w:type="dxa"/>
              <w:bottom w:w="0" w:type="dxa"/>
              <w:right w:w="0" w:type="dxa"/>
            </w:tcMar>
            <w:vAlign w:val="center"/>
          </w:tcPr>
          <w:p>
            <w:pPr>
              <w:pStyle w:val="TableContents"/>
              <w:bidi w:val="0"/>
              <w:spacing w:lineRule="auto" w:line="288" w:before="0" w:after="15"/>
              <w:jc w:val="center"/>
              <w:rPr>
                <w:rFonts w:ascii="Times New Roman;serif" w:hAnsi="Times New Roman;serif"/>
                <w:b/>
                <w:color w:val="000000"/>
                <w:sz w:val="20"/>
              </w:rPr>
            </w:pPr>
            <w:r>
              <w:rPr>
                <w:rFonts w:ascii="Times New Roman;serif" w:hAnsi="Times New Roman;serif"/>
                <w:b/>
                <w:color w:val="000000"/>
                <w:sz w:val="20"/>
              </w:rPr>
              <w:t>2929 7th Street, Suite 105</w:t>
            </w:r>
          </w:p>
          <w:p>
            <w:pPr>
              <w:pStyle w:val="TableContents"/>
              <w:bidi w:val="0"/>
              <w:spacing w:lineRule="auto" w:line="288" w:before="0" w:after="15"/>
              <w:jc w:val="center"/>
              <w:rPr>
                <w:rFonts w:ascii="Times New Roman;serif" w:hAnsi="Times New Roman;serif"/>
                <w:b/>
                <w:color w:val="000000"/>
                <w:sz w:val="20"/>
              </w:rPr>
            </w:pPr>
            <w:r>
              <w:rPr>
                <w:rFonts w:ascii="Times New Roman;serif" w:hAnsi="Times New Roman;serif"/>
                <w:b/>
                <w:color w:val="000000"/>
                <w:sz w:val="20"/>
              </w:rPr>
              <w:t>Berkeley, California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4"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94710</w:t>
            </w:r>
          </w:p>
        </w:tc>
      </w:tr>
      <w:tr>
        <w:trPr/>
        <w:tc>
          <w:tcPr>
            <w:tcW w:w="2429" w:type="dxa"/>
            <w:gridSpan w:val="3"/>
            <w:tcBorders/>
            <w:tcMar>
              <w:top w:w="0" w:type="dxa"/>
              <w:left w:w="0" w:type="dxa"/>
              <w:bottom w:w="0" w:type="dxa"/>
              <w:right w:w="0" w:type="dxa"/>
            </w:tcMar>
            <w:vAlign w:val="center"/>
          </w:tcPr>
          <w:p>
            <w:pPr>
              <w:pStyle w:val="TableContents"/>
              <w:bidi w:val="0"/>
              <w:spacing w:lineRule="auto" w:line="252" w:before="0" w:after="283"/>
              <w:jc w:val="center"/>
              <w:rPr>
                <w:rFonts w:ascii="Times New Roman;serif" w:hAnsi="Times New Roman;serif"/>
                <w:b/>
                <w:color w:val="000000"/>
                <w:sz w:val="14"/>
              </w:rPr>
            </w:pPr>
            <w:r>
              <w:rPr>
                <w:rFonts w:ascii="Times New Roman;serif" w:hAnsi="Times New Roman;serif"/>
                <w:b/>
                <w:color w:val="000000"/>
                <w:sz w:val="14"/>
              </w:rPr>
              <w:t>(Address of principal executive offices)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4" w:type="dxa"/>
            <w:gridSpan w:val="3"/>
            <w:tcBorders/>
            <w:tcMar>
              <w:top w:w="0" w:type="dxa"/>
              <w:left w:w="0" w:type="dxa"/>
              <w:bottom w:w="0" w:type="dxa"/>
              <w:right w:w="0" w:type="dxa"/>
            </w:tcMar>
            <w:vAlign w:val="center"/>
          </w:tcPr>
          <w:p>
            <w:pPr>
              <w:pStyle w:val="TableContents"/>
              <w:bidi w:val="0"/>
              <w:spacing w:lineRule="auto" w:line="252" w:before="0" w:after="283"/>
              <w:jc w:val="center"/>
              <w:rPr>
                <w:rFonts w:ascii="Times New Roman;serif" w:hAnsi="Times New Roman;serif"/>
                <w:b/>
                <w:color w:val="000000"/>
                <w:sz w:val="14"/>
              </w:rPr>
            </w:pPr>
            <w:r>
              <w:rPr>
                <w:rFonts w:ascii="Times New Roman;serif" w:hAnsi="Times New Roman;serif"/>
                <w:b/>
                <w:color w:val="000000"/>
                <w:sz w:val="14"/>
              </w:rPr>
              <w:t>(Zip Code)</w:t>
            </w:r>
          </w:p>
        </w:tc>
      </w:tr>
    </w:tbl>
    <w:p>
      <w:pPr>
        <w:pStyle w:val="TextBody"/>
        <w:bidi w:val="0"/>
        <w:spacing w:lineRule="auto" w:line="288" w:before="60" w:after="283"/>
        <w:jc w:val="center"/>
        <w:rPr>
          <w:rFonts w:ascii="Times New Roman;serif" w:hAnsi="Times New Roman;serif"/>
          <w:b/>
          <w:color w:val="000000"/>
          <w:sz w:val="20"/>
        </w:rPr>
      </w:pPr>
      <w:r>
        <w:rPr>
          <w:rFonts w:ascii="Times New Roman;serif" w:hAnsi="Times New Roman;serif"/>
          <w:b/>
          <w:color w:val="000000"/>
          <w:sz w:val="20"/>
        </w:rPr>
        <w:t>Registrant’s telephone number, including area code: (510) 982-6030</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______________________________________</w:t>
      </w:r>
    </w:p>
    <w:p>
      <w:pPr>
        <w:pStyle w:val="TextBody"/>
        <w:bidi w:val="0"/>
        <w:spacing w:lineRule="auto" w:line="288" w:before="60" w:after="283"/>
        <w:ind w:left="0" w:right="0" w:firstLine="720"/>
        <w:jc w:val="left"/>
        <w:rPr>
          <w:rFonts w:ascii="Times New Roman;serif" w:hAnsi="Times New Roman;serif"/>
          <w:b w:val="false"/>
          <w:color w:val="000000"/>
          <w:sz w:val="18"/>
        </w:rPr>
      </w:pPr>
      <w:r>
        <w:rPr>
          <w:rFonts w:ascii="Times New Roman;serif" w:hAnsi="Times New Roman;serif"/>
          <w:b w:val="false"/>
          <w:color w:val="000000"/>
          <w:sz w:val="18"/>
        </w:rPr>
        <w:t xml:space="preserve">Securities registered pursuant to Section 12(b) of the Act: </w:t>
      </w:r>
    </w:p>
    <w:tbl>
      <w:tblPr>
        <w:tblW w:w="8661" w:type="dxa"/>
        <w:jc w:val="left"/>
        <w:tblInd w:w="0" w:type="dxa"/>
        <w:tblLayout w:type="fixed"/>
        <w:tblCellMar>
          <w:top w:w="28" w:type="dxa"/>
          <w:left w:w="28" w:type="dxa"/>
          <w:bottom w:w="28" w:type="dxa"/>
          <w:right w:w="28" w:type="dxa"/>
        </w:tblCellMar>
      </w:tblPr>
      <w:tblGrid>
        <w:gridCol w:w="1171"/>
        <w:gridCol w:w="1027"/>
        <w:gridCol w:w="1041"/>
        <w:gridCol w:w="109"/>
        <w:gridCol w:w="109"/>
        <w:gridCol w:w="109"/>
        <w:gridCol w:w="484"/>
        <w:gridCol w:w="484"/>
        <w:gridCol w:w="486"/>
        <w:gridCol w:w="109"/>
        <w:gridCol w:w="109"/>
        <w:gridCol w:w="109"/>
        <w:gridCol w:w="970"/>
        <w:gridCol w:w="970"/>
        <w:gridCol w:w="1374"/>
      </w:tblGrid>
      <w:tr>
        <w:trPr/>
        <w:tc>
          <w:tcPr>
            <w:tcW w:w="1171" w:type="dxa"/>
            <w:tcBorders/>
            <w:vAlign w:val="center"/>
          </w:tcPr>
          <w:p>
            <w:pPr>
              <w:pStyle w:val="TableContents"/>
              <w:bidi w:val="0"/>
              <w:spacing w:before="0" w:after="283"/>
              <w:jc w:val="left"/>
              <w:rPr>
                <w:sz w:val="4"/>
                <w:szCs w:val="4"/>
              </w:rPr>
            </w:pPr>
            <w:r>
              <w:rPr>
                <w:sz w:val="4"/>
                <w:szCs w:val="4"/>
              </w:rPr>
            </w:r>
          </w:p>
        </w:tc>
        <w:tc>
          <w:tcPr>
            <w:tcW w:w="1027" w:type="dxa"/>
            <w:tcBorders/>
            <w:vAlign w:val="center"/>
          </w:tcPr>
          <w:p>
            <w:pPr>
              <w:pStyle w:val="TableContents"/>
              <w:bidi w:val="0"/>
              <w:spacing w:before="0" w:after="283"/>
              <w:jc w:val="left"/>
              <w:rPr>
                <w:sz w:val="4"/>
                <w:szCs w:val="4"/>
              </w:rPr>
            </w:pPr>
            <w:r>
              <w:rPr>
                <w:sz w:val="4"/>
                <w:szCs w:val="4"/>
              </w:rPr>
            </w:r>
          </w:p>
        </w:tc>
        <w:tc>
          <w:tcPr>
            <w:tcW w:w="10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4" w:type="dxa"/>
            <w:tcBorders/>
            <w:vAlign w:val="center"/>
          </w:tcPr>
          <w:p>
            <w:pPr>
              <w:pStyle w:val="TableContents"/>
              <w:bidi w:val="0"/>
              <w:spacing w:before="0" w:after="283"/>
              <w:jc w:val="left"/>
              <w:rPr>
                <w:sz w:val="4"/>
                <w:szCs w:val="4"/>
              </w:rPr>
            </w:pPr>
            <w:r>
              <w:rPr>
                <w:sz w:val="4"/>
                <w:szCs w:val="4"/>
              </w:rPr>
            </w:r>
          </w:p>
        </w:tc>
        <w:tc>
          <w:tcPr>
            <w:tcW w:w="484" w:type="dxa"/>
            <w:tcBorders/>
            <w:vAlign w:val="center"/>
          </w:tcPr>
          <w:p>
            <w:pPr>
              <w:pStyle w:val="TableContents"/>
              <w:bidi w:val="0"/>
              <w:spacing w:before="0" w:after="283"/>
              <w:jc w:val="left"/>
              <w:rPr>
                <w:sz w:val="4"/>
                <w:szCs w:val="4"/>
              </w:rPr>
            </w:pPr>
            <w:r>
              <w:rPr>
                <w:sz w:val="4"/>
                <w:szCs w:val="4"/>
              </w:rPr>
            </w:r>
          </w:p>
        </w:tc>
        <w:tc>
          <w:tcPr>
            <w:tcW w:w="4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70" w:type="dxa"/>
            <w:tcBorders/>
            <w:vAlign w:val="center"/>
          </w:tcPr>
          <w:p>
            <w:pPr>
              <w:pStyle w:val="TableContents"/>
              <w:bidi w:val="0"/>
              <w:spacing w:before="0" w:after="283"/>
              <w:jc w:val="left"/>
              <w:rPr>
                <w:sz w:val="4"/>
                <w:szCs w:val="4"/>
              </w:rPr>
            </w:pPr>
            <w:r>
              <w:rPr>
                <w:sz w:val="4"/>
                <w:szCs w:val="4"/>
              </w:rPr>
            </w:r>
          </w:p>
        </w:tc>
        <w:tc>
          <w:tcPr>
            <w:tcW w:w="970" w:type="dxa"/>
            <w:tcBorders/>
            <w:vAlign w:val="center"/>
          </w:tcPr>
          <w:p>
            <w:pPr>
              <w:pStyle w:val="TableContents"/>
              <w:bidi w:val="0"/>
              <w:spacing w:before="0" w:after="283"/>
              <w:jc w:val="left"/>
              <w:rPr>
                <w:sz w:val="4"/>
                <w:szCs w:val="4"/>
              </w:rPr>
            </w:pPr>
            <w:r>
              <w:rPr>
                <w:sz w:val="4"/>
                <w:szCs w:val="4"/>
              </w:rPr>
            </w:r>
          </w:p>
        </w:tc>
        <w:tc>
          <w:tcPr>
            <w:tcW w:w="1374" w:type="dxa"/>
            <w:tcBorders/>
            <w:vAlign w:val="center"/>
          </w:tcPr>
          <w:p>
            <w:pPr>
              <w:pStyle w:val="TableContents"/>
              <w:bidi w:val="0"/>
              <w:spacing w:before="0" w:after="283"/>
              <w:jc w:val="left"/>
              <w:rPr>
                <w:sz w:val="4"/>
                <w:szCs w:val="4"/>
              </w:rPr>
            </w:pPr>
            <w:r>
              <w:rPr>
                <w:sz w:val="4"/>
                <w:szCs w:val="4"/>
              </w:rPr>
            </w:r>
          </w:p>
        </w:tc>
      </w:tr>
      <w:tr>
        <w:trPr/>
        <w:tc>
          <w:tcPr>
            <w:tcW w:w="3239" w:type="dxa"/>
            <w:gridSpan w:val="3"/>
            <w:tcBorders/>
            <w:tcMar>
              <w:top w:w="0" w:type="dxa"/>
              <w:left w:w="0" w:type="dxa"/>
              <w:bottom w:w="0" w:type="dxa"/>
              <w:right w:w="0" w:type="dxa"/>
            </w:tcMar>
            <w:vAlign w:val="center"/>
          </w:tcPr>
          <w:p>
            <w:pPr>
              <w:pStyle w:val="TableContents"/>
              <w:bidi w:val="0"/>
              <w:spacing w:lineRule="auto" w:line="252" w:before="0" w:after="283"/>
              <w:jc w:val="center"/>
              <w:rPr>
                <w:rFonts w:ascii="Times New Roman;serif" w:hAnsi="Times New Roman;serif"/>
                <w:b/>
                <w:color w:val="000000"/>
                <w:sz w:val="16"/>
              </w:rPr>
            </w:pPr>
            <w:r>
              <w:rPr>
                <w:rFonts w:ascii="Times New Roman;serif" w:hAnsi="Times New Roman;serif"/>
                <w:b/>
                <w:color w:val="000000"/>
                <w:sz w:val="16"/>
              </w:rPr>
              <w:t>Title of each class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4" w:type="dxa"/>
            <w:gridSpan w:val="3"/>
            <w:tcBorders/>
            <w:tcMar>
              <w:top w:w="0" w:type="dxa"/>
              <w:left w:w="0" w:type="dxa"/>
              <w:bottom w:w="0" w:type="dxa"/>
              <w:right w:w="0" w:type="dxa"/>
            </w:tcMar>
            <w:vAlign w:val="center"/>
          </w:tcPr>
          <w:p>
            <w:pPr>
              <w:pStyle w:val="TableContents"/>
              <w:bidi w:val="0"/>
              <w:spacing w:lineRule="auto" w:line="252" w:before="0" w:after="283"/>
              <w:jc w:val="center"/>
              <w:rPr>
                <w:rFonts w:ascii="Times New Roman;serif" w:hAnsi="Times New Roman;serif"/>
                <w:b/>
                <w:color w:val="000000"/>
                <w:sz w:val="16"/>
              </w:rPr>
            </w:pPr>
            <w:r>
              <w:rPr>
                <w:rFonts w:ascii="Times New Roman;serif" w:hAnsi="Times New Roman;serif"/>
                <w:b/>
                <w:color w:val="000000"/>
                <w:sz w:val="16"/>
              </w:rPr>
              <w:t>Trading Symbol(s)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4" w:type="dxa"/>
            <w:gridSpan w:val="3"/>
            <w:tcBorders/>
            <w:tcMar>
              <w:top w:w="0" w:type="dxa"/>
              <w:left w:w="0" w:type="dxa"/>
              <w:bottom w:w="0" w:type="dxa"/>
              <w:right w:w="0" w:type="dxa"/>
            </w:tcMar>
            <w:vAlign w:val="center"/>
          </w:tcPr>
          <w:p>
            <w:pPr>
              <w:pStyle w:val="TableContents"/>
              <w:bidi w:val="0"/>
              <w:spacing w:lineRule="auto" w:line="252" w:before="0" w:after="283"/>
              <w:jc w:val="center"/>
              <w:rPr>
                <w:rFonts w:ascii="Times New Roman;serif" w:hAnsi="Times New Roman;serif"/>
                <w:b/>
                <w:color w:val="000000"/>
                <w:sz w:val="16"/>
              </w:rPr>
            </w:pPr>
            <w:r>
              <w:rPr>
                <w:rFonts w:ascii="Times New Roman;serif" w:hAnsi="Times New Roman;serif"/>
                <w:b/>
                <w:color w:val="000000"/>
                <w:sz w:val="16"/>
              </w:rPr>
              <w:t>Name of each exchange on which registered</w:t>
            </w:r>
          </w:p>
        </w:tc>
      </w:tr>
      <w:tr>
        <w:trPr/>
        <w:tc>
          <w:tcPr>
            <w:tcW w:w="323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52" w:before="0" w:after="283"/>
              <w:jc w:val="left"/>
              <w:rPr>
                <w:rFonts w:ascii="Times New Roman;serif" w:hAnsi="Times New Roman;serif"/>
                <w:b w:val="false"/>
                <w:color w:val="000000"/>
                <w:sz w:val="16"/>
              </w:rPr>
            </w:pPr>
            <w:r>
              <w:rPr>
                <w:rFonts w:ascii="Times New Roman;serif" w:hAnsi="Times New Roman;serif"/>
                <w:b w:val="false"/>
                <w:color w:val="000000"/>
                <w:sz w:val="16"/>
              </w:rPr>
              <w:t>Common Stock, par value $0.0001 per share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52" w:before="0" w:after="283"/>
              <w:jc w:val="center"/>
              <w:rPr>
                <w:rFonts w:ascii="Times New Roman;serif" w:hAnsi="Times New Roman;serif"/>
                <w:b w:val="false"/>
                <w:color w:val="000000"/>
                <w:sz w:val="16"/>
              </w:rPr>
            </w:pPr>
            <w:r>
              <w:rPr>
                <w:rFonts w:ascii="Times New Roman;serif" w:hAnsi="Times New Roman;serif"/>
                <w:b w:val="false"/>
                <w:color w:val="000000"/>
                <w:sz w:val="16"/>
              </w:rPr>
              <w:t>CRBU</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52" w:before="0" w:after="0"/>
              <w:jc w:val="center"/>
              <w:rPr>
                <w:rFonts w:ascii="Times New Roman;serif" w:hAnsi="Times New Roman;serif"/>
                <w:b w:val="false"/>
                <w:color w:val="000000"/>
                <w:sz w:val="16"/>
              </w:rPr>
            </w:pPr>
            <w:r>
              <w:rPr>
                <w:rFonts w:ascii="Times New Roman;serif" w:hAnsi="Times New Roman;serif"/>
                <w:b w:val="false"/>
                <w:color w:val="000000"/>
                <w:sz w:val="16"/>
              </w:rPr>
              <w:t>The Nasdaq Global Select Market</w:t>
            </w:r>
          </w:p>
        </w:tc>
      </w:tr>
    </w:tbl>
    <w:p>
      <w:pPr>
        <w:pStyle w:val="TextBody"/>
        <w:bidi w:val="0"/>
        <w:spacing w:lineRule="auto" w:line="288" w:before="60" w:after="283"/>
        <w:ind w:left="0" w:right="0" w:firstLine="720"/>
        <w:jc w:val="left"/>
        <w:rPr/>
      </w:pPr>
      <w:r>
        <w:rPr>
          <w:rFonts w:ascii="Times New Roman;serif" w:hAnsi="Times New Roman;serif"/>
          <w:b w:val="false"/>
          <w:color w:val="000000"/>
          <w:sz w:val="18"/>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Wingdings;sans-serif" w:hAnsi="Wingdings;sans-serif"/>
          <w:b w:val="false"/>
          <w:color w:val="000000"/>
          <w:sz w:val="18"/>
        </w:rPr>
        <w:t>x</w:t>
      </w:r>
      <w:r>
        <w:rPr>
          <w:color w:val="000000"/>
        </w:rPr>
        <w:t xml:space="preserve"> </w:t>
      </w:r>
      <w:r>
        <w:rPr>
          <w:rFonts w:ascii="Times New Roman;serif" w:hAnsi="Times New Roman;serif"/>
          <w:b w:val="false"/>
          <w:color w:val="000000"/>
          <w:sz w:val="18"/>
        </w:rPr>
        <w:t>No </w:t>
      </w:r>
      <w:r>
        <w:rPr>
          <w:rFonts w:ascii="Wingdings;sans-serif" w:hAnsi="Wingdings;sans-serif"/>
          <w:b w:val="false"/>
          <w:color w:val="000000"/>
          <w:sz w:val="18"/>
        </w:rPr>
        <w:t>o</w:t>
      </w:r>
    </w:p>
    <w:p>
      <w:pPr>
        <w:pStyle w:val="TextBody"/>
        <w:bidi w:val="0"/>
        <w:spacing w:lineRule="auto" w:line="288" w:before="60" w:after="283"/>
        <w:ind w:left="0" w:right="0" w:firstLine="720"/>
        <w:jc w:val="left"/>
        <w:rPr/>
      </w:pPr>
      <w:r>
        <w:rPr>
          <w:rFonts w:ascii="Times New Roman;serif" w:hAnsi="Times New Roman;serif"/>
          <w:b w:val="false"/>
          <w:color w:val="000000"/>
          <w:sz w:val="18"/>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Wingdings;sans-serif" w:hAnsi="Wingdings;sans-serif"/>
          <w:b w:val="false"/>
          <w:color w:val="000000"/>
          <w:sz w:val="18"/>
        </w:rPr>
        <w:t>x</w:t>
      </w:r>
      <w:r>
        <w:rPr>
          <w:color w:val="000000"/>
        </w:rPr>
        <w:t xml:space="preserve"> </w:t>
      </w:r>
      <w:r>
        <w:rPr>
          <w:rFonts w:ascii="Times New Roman;serif" w:hAnsi="Times New Roman;serif"/>
          <w:b w:val="false"/>
          <w:color w:val="000000"/>
          <w:sz w:val="18"/>
        </w:rPr>
        <w:t>No </w:t>
      </w:r>
      <w:r>
        <w:rPr>
          <w:rFonts w:ascii="Wingdings;sans-serif" w:hAnsi="Wingdings;sans-serif"/>
          <w:b w:val="false"/>
          <w:color w:val="000000"/>
          <w:sz w:val="18"/>
        </w:rPr>
        <w:t>o</w:t>
      </w:r>
    </w:p>
    <w:p>
      <w:pPr>
        <w:pStyle w:val="TextBody"/>
        <w:bidi w:val="0"/>
        <w:spacing w:lineRule="auto" w:line="288" w:before="60" w:after="283"/>
        <w:ind w:left="0" w:right="0" w:firstLine="720"/>
        <w:jc w:val="left"/>
        <w:rPr>
          <w:rFonts w:ascii="Times New Roman;serif" w:hAnsi="Times New Roman;serif"/>
          <w:b w:val="false"/>
          <w:color w:val="000000"/>
          <w:sz w:val="18"/>
        </w:rPr>
      </w:pPr>
      <w:r>
        <w:rPr>
          <w:rFonts w:ascii="Times New Roman;serif" w:hAnsi="Times New Roman;serif"/>
          <w:b w:val="false"/>
          <w:color w:val="000000"/>
          <w:sz w:val="18"/>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tbl>
      <w:tblPr>
        <w:tblW w:w="4731" w:type="dxa"/>
        <w:jc w:val="left"/>
        <w:tblInd w:w="0" w:type="dxa"/>
        <w:tblLayout w:type="fixed"/>
        <w:tblCellMar>
          <w:top w:w="28" w:type="dxa"/>
          <w:left w:w="28" w:type="dxa"/>
          <w:bottom w:w="28" w:type="dxa"/>
          <w:right w:w="28" w:type="dxa"/>
        </w:tblCellMar>
      </w:tblPr>
      <w:tblGrid>
        <w:gridCol w:w="603"/>
        <w:gridCol w:w="530"/>
        <w:gridCol w:w="532"/>
        <w:gridCol w:w="109"/>
        <w:gridCol w:w="109"/>
        <w:gridCol w:w="109"/>
        <w:gridCol w:w="109"/>
        <w:gridCol w:w="109"/>
        <w:gridCol w:w="109"/>
        <w:gridCol w:w="679"/>
        <w:gridCol w:w="679"/>
        <w:gridCol w:w="682"/>
        <w:gridCol w:w="109"/>
        <w:gridCol w:w="109"/>
        <w:gridCol w:w="154"/>
      </w:tblGrid>
      <w:tr>
        <w:trPr/>
        <w:tc>
          <w:tcPr>
            <w:tcW w:w="603" w:type="dxa"/>
            <w:tcBorders/>
            <w:vAlign w:val="center"/>
          </w:tcPr>
          <w:p>
            <w:pPr>
              <w:pStyle w:val="TableContents"/>
              <w:bidi w:val="0"/>
              <w:spacing w:before="0" w:after="283"/>
              <w:jc w:val="left"/>
              <w:rPr>
                <w:sz w:val="4"/>
                <w:szCs w:val="4"/>
              </w:rPr>
            </w:pPr>
            <w:r>
              <w:rPr>
                <w:sz w:val="4"/>
                <w:szCs w:val="4"/>
              </w:rPr>
            </w:r>
          </w:p>
        </w:tc>
        <w:tc>
          <w:tcPr>
            <w:tcW w:w="530" w:type="dxa"/>
            <w:tcBorders/>
            <w:vAlign w:val="center"/>
          </w:tcPr>
          <w:p>
            <w:pPr>
              <w:pStyle w:val="TableContents"/>
              <w:bidi w:val="0"/>
              <w:spacing w:before="0" w:after="283"/>
              <w:jc w:val="left"/>
              <w:rPr>
                <w:sz w:val="4"/>
                <w:szCs w:val="4"/>
              </w:rPr>
            </w:pPr>
            <w:r>
              <w:rPr>
                <w:sz w:val="4"/>
                <w:szCs w:val="4"/>
              </w:rPr>
            </w:r>
          </w:p>
        </w:tc>
        <w:tc>
          <w:tcPr>
            <w:tcW w:w="53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79" w:type="dxa"/>
            <w:tcBorders/>
            <w:vAlign w:val="center"/>
          </w:tcPr>
          <w:p>
            <w:pPr>
              <w:pStyle w:val="TableContents"/>
              <w:bidi w:val="0"/>
              <w:spacing w:before="0" w:after="283"/>
              <w:jc w:val="left"/>
              <w:rPr>
                <w:sz w:val="4"/>
                <w:szCs w:val="4"/>
              </w:rPr>
            </w:pPr>
            <w:r>
              <w:rPr>
                <w:sz w:val="4"/>
                <w:szCs w:val="4"/>
              </w:rPr>
            </w:r>
          </w:p>
        </w:tc>
        <w:tc>
          <w:tcPr>
            <w:tcW w:w="679" w:type="dxa"/>
            <w:tcBorders/>
            <w:vAlign w:val="center"/>
          </w:tcPr>
          <w:p>
            <w:pPr>
              <w:pStyle w:val="TableContents"/>
              <w:bidi w:val="0"/>
              <w:spacing w:before="0" w:after="283"/>
              <w:jc w:val="left"/>
              <w:rPr>
                <w:sz w:val="4"/>
                <w:szCs w:val="4"/>
              </w:rPr>
            </w:pPr>
            <w:r>
              <w:rPr>
                <w:sz w:val="4"/>
                <w:szCs w:val="4"/>
              </w:rPr>
            </w:r>
          </w:p>
        </w:tc>
        <w:tc>
          <w:tcPr>
            <w:tcW w:w="68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665" w:type="dxa"/>
            <w:gridSpan w:val="3"/>
            <w:tcBorders/>
            <w:tcMar>
              <w:top w:w="0" w:type="dxa"/>
              <w:left w:w="0" w:type="dxa"/>
              <w:bottom w:w="0" w:type="dxa"/>
              <w:right w:w="0" w:type="dxa"/>
            </w:tcMar>
            <w:vAlign w:val="center"/>
          </w:tcPr>
          <w:p>
            <w:pPr>
              <w:pStyle w:val="TableContents"/>
              <w:bidi w:val="0"/>
              <w:spacing w:lineRule="auto" w:line="252" w:before="0" w:after="283"/>
              <w:jc w:val="left"/>
              <w:rPr>
                <w:rFonts w:ascii="Times New Roman;serif" w:hAnsi="Times New Roman;serif"/>
                <w:b w:val="false"/>
                <w:color w:val="000000"/>
                <w:sz w:val="18"/>
              </w:rPr>
            </w:pPr>
            <w:r>
              <w:rPr>
                <w:rFonts w:ascii="Times New Roman;serif" w:hAnsi="Times New Roman;serif"/>
                <w:b w:val="false"/>
                <w:color w:val="000000"/>
                <w:sz w:val="18"/>
              </w:rPr>
              <w:t>Large accelerated filer</w:t>
            </w:r>
          </w:p>
        </w:tc>
        <w:tc>
          <w:tcPr>
            <w:tcW w:w="327" w:type="dxa"/>
            <w:gridSpan w:val="3"/>
            <w:tcBorders/>
            <w:tcMar>
              <w:top w:w="0" w:type="dxa"/>
              <w:left w:w="0" w:type="dxa"/>
              <w:bottom w:w="0" w:type="dxa"/>
              <w:right w:w="0" w:type="dxa"/>
            </w:tcMar>
            <w:vAlign w:val="center"/>
          </w:tcPr>
          <w:p>
            <w:pPr>
              <w:pStyle w:val="TableContents"/>
              <w:bidi w:val="0"/>
              <w:spacing w:lineRule="auto" w:line="252" w:before="0" w:after="283"/>
              <w:jc w:val="left"/>
              <w:rPr>
                <w:rFonts w:ascii="Wingdings;sans-serif" w:hAnsi="Wingdings;sans-serif"/>
                <w:b w:val="false"/>
                <w:color w:val="000000"/>
                <w:sz w:val="18"/>
              </w:rPr>
            </w:pPr>
            <w:r>
              <w:rPr>
                <w:rFonts w:ascii="Wingdings;sans-serif" w:hAnsi="Wingdings;sans-serif"/>
                <w:b w:val="false"/>
                <w:color w:val="000000"/>
                <w:sz w:val="18"/>
              </w:rPr>
              <w:t>o</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0" w:type="dxa"/>
            <w:gridSpan w:val="3"/>
            <w:tcBorders/>
            <w:tcMar>
              <w:top w:w="0" w:type="dxa"/>
              <w:left w:w="0" w:type="dxa"/>
              <w:bottom w:w="0" w:type="dxa"/>
              <w:right w:w="0" w:type="dxa"/>
            </w:tcMar>
            <w:vAlign w:val="center"/>
          </w:tcPr>
          <w:p>
            <w:pPr>
              <w:pStyle w:val="TableContents"/>
              <w:bidi w:val="0"/>
              <w:spacing w:lineRule="auto" w:line="252" w:before="0" w:after="283"/>
              <w:jc w:val="left"/>
              <w:rPr>
                <w:rFonts w:ascii="Times New Roman;serif" w:hAnsi="Times New Roman;serif"/>
                <w:b w:val="false"/>
                <w:color w:val="000000"/>
                <w:sz w:val="18"/>
              </w:rPr>
            </w:pPr>
            <w:r>
              <w:rPr>
                <w:rFonts w:ascii="Times New Roman;serif" w:hAnsi="Times New Roman;serif"/>
                <w:b w:val="false"/>
                <w:color w:val="000000"/>
                <w:sz w:val="18"/>
              </w:rPr>
              <w:t>Accelerated filer</w:t>
            </w:r>
          </w:p>
        </w:tc>
        <w:tc>
          <w:tcPr>
            <w:tcW w:w="372" w:type="dxa"/>
            <w:gridSpan w:val="3"/>
            <w:tcBorders/>
            <w:tcMar>
              <w:top w:w="0" w:type="dxa"/>
              <w:left w:w="0" w:type="dxa"/>
              <w:bottom w:w="0" w:type="dxa"/>
              <w:right w:w="0" w:type="dxa"/>
            </w:tcMar>
            <w:vAlign w:val="center"/>
          </w:tcPr>
          <w:p>
            <w:pPr>
              <w:pStyle w:val="TableContents"/>
              <w:bidi w:val="0"/>
              <w:spacing w:lineRule="auto" w:line="252" w:before="0" w:after="283"/>
              <w:jc w:val="left"/>
              <w:rPr>
                <w:rFonts w:ascii="Wingdings;sans-serif" w:hAnsi="Wingdings;sans-serif"/>
                <w:b w:val="false"/>
                <w:color w:val="000000"/>
                <w:sz w:val="18"/>
              </w:rPr>
            </w:pPr>
            <w:r>
              <w:rPr>
                <w:rFonts w:ascii="Wingdings;sans-serif" w:hAnsi="Wingdings;sans-serif"/>
                <w:b w:val="false"/>
                <w:color w:val="000000"/>
                <w:sz w:val="18"/>
              </w:rPr>
              <w:t>o</w:t>
            </w:r>
          </w:p>
        </w:tc>
      </w:tr>
      <w:tr>
        <w:trPr/>
        <w:tc>
          <w:tcPr>
            <w:tcW w:w="1665" w:type="dxa"/>
            <w:gridSpan w:val="3"/>
            <w:tcBorders/>
            <w:tcMar>
              <w:top w:w="0" w:type="dxa"/>
              <w:left w:w="0" w:type="dxa"/>
              <w:bottom w:w="0" w:type="dxa"/>
              <w:right w:w="0" w:type="dxa"/>
            </w:tcMar>
            <w:vAlign w:val="center"/>
          </w:tcPr>
          <w:p>
            <w:pPr>
              <w:pStyle w:val="TableContents"/>
              <w:bidi w:val="0"/>
              <w:spacing w:lineRule="auto" w:line="252" w:before="0" w:after="283"/>
              <w:jc w:val="left"/>
              <w:rPr>
                <w:rFonts w:ascii="Times New Roman;serif" w:hAnsi="Times New Roman;serif"/>
                <w:b w:val="false"/>
                <w:color w:val="000000"/>
                <w:sz w:val="18"/>
              </w:rPr>
            </w:pPr>
            <w:r>
              <w:rPr>
                <w:rFonts w:ascii="Times New Roman;serif" w:hAnsi="Times New Roman;serif"/>
                <w:b w:val="false"/>
                <w:color w:val="000000"/>
                <w:sz w:val="18"/>
              </w:rPr>
              <w:t>Non-accelerated filer</w:t>
            </w:r>
          </w:p>
        </w:tc>
        <w:tc>
          <w:tcPr>
            <w:tcW w:w="327" w:type="dxa"/>
            <w:gridSpan w:val="3"/>
            <w:tcBorders/>
            <w:tcMar>
              <w:top w:w="0" w:type="dxa"/>
              <w:left w:w="0" w:type="dxa"/>
              <w:bottom w:w="0" w:type="dxa"/>
              <w:right w:w="0" w:type="dxa"/>
            </w:tcMar>
            <w:vAlign w:val="center"/>
          </w:tcPr>
          <w:p>
            <w:pPr>
              <w:pStyle w:val="TableContents"/>
              <w:bidi w:val="0"/>
              <w:spacing w:lineRule="auto" w:line="252" w:before="0" w:after="283"/>
              <w:jc w:val="left"/>
              <w:rPr>
                <w:rFonts w:ascii="Wingdings;sans-serif" w:hAnsi="Wingdings;sans-serif"/>
                <w:b w:val="false"/>
                <w:color w:val="000000"/>
                <w:sz w:val="18"/>
              </w:rPr>
            </w:pPr>
            <w:r>
              <w:rPr>
                <w:rFonts w:ascii="Wingdings;sans-serif" w:hAnsi="Wingdings;sans-serif"/>
                <w:b w:val="false"/>
                <w:color w:val="000000"/>
                <w:sz w:val="18"/>
              </w:rPr>
              <w:t>x</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0" w:type="dxa"/>
            <w:gridSpan w:val="3"/>
            <w:tcBorders/>
            <w:tcMar>
              <w:top w:w="0" w:type="dxa"/>
              <w:left w:w="0" w:type="dxa"/>
              <w:bottom w:w="0" w:type="dxa"/>
              <w:right w:w="0" w:type="dxa"/>
            </w:tcMar>
            <w:vAlign w:val="center"/>
          </w:tcPr>
          <w:p>
            <w:pPr>
              <w:pStyle w:val="TableContents"/>
              <w:bidi w:val="0"/>
              <w:spacing w:lineRule="auto" w:line="252" w:before="0" w:after="283"/>
              <w:jc w:val="left"/>
              <w:rPr>
                <w:rFonts w:ascii="Times New Roman;serif" w:hAnsi="Times New Roman;serif"/>
                <w:b w:val="false"/>
                <w:color w:val="000000"/>
                <w:sz w:val="18"/>
              </w:rPr>
            </w:pPr>
            <w:r>
              <w:rPr>
                <w:rFonts w:ascii="Times New Roman;serif" w:hAnsi="Times New Roman;serif"/>
                <w:b w:val="false"/>
                <w:color w:val="000000"/>
                <w:sz w:val="18"/>
              </w:rPr>
              <w:t>Smaller reporting company</w:t>
            </w:r>
          </w:p>
        </w:tc>
        <w:tc>
          <w:tcPr>
            <w:tcW w:w="372" w:type="dxa"/>
            <w:gridSpan w:val="3"/>
            <w:tcBorders/>
            <w:tcMar>
              <w:top w:w="0" w:type="dxa"/>
              <w:left w:w="0" w:type="dxa"/>
              <w:bottom w:w="0" w:type="dxa"/>
              <w:right w:w="0" w:type="dxa"/>
            </w:tcMar>
            <w:vAlign w:val="center"/>
          </w:tcPr>
          <w:p>
            <w:pPr>
              <w:pStyle w:val="TableContents"/>
              <w:bidi w:val="0"/>
              <w:spacing w:lineRule="auto" w:line="252" w:before="0" w:after="283"/>
              <w:jc w:val="left"/>
              <w:rPr>
                <w:rFonts w:ascii="Wingdings;sans-serif" w:hAnsi="Wingdings;sans-serif"/>
                <w:b w:val="false"/>
                <w:color w:val="000000"/>
                <w:sz w:val="18"/>
              </w:rPr>
            </w:pPr>
            <w:r>
              <w:rPr>
                <w:rFonts w:ascii="Wingdings;sans-serif" w:hAnsi="Wingdings;sans-serif"/>
                <w:b w:val="false"/>
                <w:color w:val="000000"/>
                <w:sz w:val="18"/>
              </w:rPr>
              <w:t>x</w:t>
            </w:r>
          </w:p>
        </w:tc>
      </w:tr>
      <w:tr>
        <w:trPr/>
        <w:tc>
          <w:tcPr>
            <w:tcW w:w="16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0" w:type="dxa"/>
            <w:gridSpan w:val="3"/>
            <w:tcBorders/>
            <w:tcMar>
              <w:top w:w="0" w:type="dxa"/>
              <w:left w:w="0" w:type="dxa"/>
              <w:bottom w:w="0" w:type="dxa"/>
              <w:right w:w="0" w:type="dxa"/>
            </w:tcMar>
            <w:vAlign w:val="center"/>
          </w:tcPr>
          <w:p>
            <w:pPr>
              <w:pStyle w:val="TableContents"/>
              <w:bidi w:val="0"/>
              <w:spacing w:lineRule="auto" w:line="252" w:before="0" w:after="283"/>
              <w:jc w:val="left"/>
              <w:rPr>
                <w:rFonts w:ascii="Times New Roman;serif" w:hAnsi="Times New Roman;serif"/>
                <w:b w:val="false"/>
                <w:color w:val="000000"/>
                <w:sz w:val="18"/>
              </w:rPr>
            </w:pPr>
            <w:r>
              <w:rPr>
                <w:rFonts w:ascii="Times New Roman;serif" w:hAnsi="Times New Roman;serif"/>
                <w:b w:val="false"/>
                <w:color w:val="000000"/>
                <w:sz w:val="18"/>
              </w:rPr>
              <w:t>Emerging growth company</w:t>
            </w:r>
          </w:p>
        </w:tc>
        <w:tc>
          <w:tcPr>
            <w:tcW w:w="372" w:type="dxa"/>
            <w:gridSpan w:val="3"/>
            <w:tcBorders/>
            <w:tcMar>
              <w:top w:w="0" w:type="dxa"/>
              <w:left w:w="0" w:type="dxa"/>
              <w:bottom w:w="0" w:type="dxa"/>
              <w:right w:w="0" w:type="dxa"/>
            </w:tcMar>
            <w:vAlign w:val="center"/>
          </w:tcPr>
          <w:p>
            <w:pPr>
              <w:pStyle w:val="TableContents"/>
              <w:bidi w:val="0"/>
              <w:spacing w:lineRule="auto" w:line="252" w:before="0" w:after="283"/>
              <w:jc w:val="left"/>
              <w:rPr>
                <w:rFonts w:ascii="Wingdings;sans-serif" w:hAnsi="Wingdings;sans-serif"/>
                <w:b w:val="false"/>
                <w:color w:val="000000"/>
                <w:sz w:val="18"/>
              </w:rPr>
            </w:pPr>
            <w:r>
              <w:rPr>
                <w:rFonts w:ascii="Wingdings;sans-serif" w:hAnsi="Wingdings;sans-serif"/>
                <w:b w:val="false"/>
                <w:color w:val="000000"/>
                <w:sz w:val="18"/>
              </w:rPr>
              <w:t>x</w:t>
            </w:r>
          </w:p>
        </w:tc>
      </w:tr>
    </w:tbl>
    <w:p>
      <w:pPr>
        <w:pStyle w:val="TextBody"/>
        <w:bidi w:val="0"/>
        <w:spacing w:lineRule="auto" w:line="288" w:before="60" w:after="283"/>
        <w:ind w:left="0" w:right="0" w:firstLine="720"/>
        <w:jc w:val="left"/>
        <w:rPr/>
      </w:pPr>
      <w:r>
        <w:rPr>
          <w:rFonts w:ascii="Times New Roman;serif" w:hAnsi="Times New Roman;serif"/>
          <w:b w:val="false"/>
          <w:color w:val="000000"/>
          <w:sz w:val="18"/>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Wingdings;sans-serif" w:hAnsi="Wingdings;sans-serif"/>
          <w:b w:val="false"/>
          <w:color w:val="000000"/>
          <w:sz w:val="18"/>
        </w:rPr>
        <w:t>o</w:t>
      </w:r>
    </w:p>
    <w:p>
      <w:pPr>
        <w:pStyle w:val="TextBody"/>
        <w:bidi w:val="0"/>
        <w:spacing w:lineRule="auto" w:line="288" w:before="60" w:after="283"/>
        <w:ind w:left="0" w:right="0" w:firstLine="720"/>
        <w:jc w:val="left"/>
        <w:rPr/>
      </w:pPr>
      <w:r>
        <w:rPr>
          <w:rFonts w:ascii="Times New Roman;serif" w:hAnsi="Times New Roman;serif"/>
          <w:b w:val="false"/>
          <w:color w:val="000000"/>
          <w:sz w:val="18"/>
        </w:rPr>
        <w:t>Indicate by check mark whether the registrant is a shell company (as defined in Rule 12b-2 of the Exchange Act). Yes </w:t>
      </w:r>
      <w:r>
        <w:rPr>
          <w:rFonts w:ascii="Wingdings;sans-serif" w:hAnsi="Wingdings;sans-serif"/>
          <w:b w:val="false"/>
          <w:color w:val="000000"/>
          <w:sz w:val="18"/>
        </w:rPr>
        <w:t>o</w:t>
      </w:r>
      <w:r>
        <w:rPr>
          <w:color w:val="000000"/>
        </w:rPr>
        <w:t xml:space="preserve"> </w:t>
      </w:r>
      <w:r>
        <w:rPr>
          <w:rFonts w:ascii="Times New Roman;serif" w:hAnsi="Times New Roman;serif"/>
          <w:b w:val="false"/>
          <w:color w:val="000000"/>
          <w:sz w:val="18"/>
        </w:rPr>
        <w:t>No </w:t>
      </w:r>
      <w:r>
        <w:rPr>
          <w:rFonts w:ascii="Wingdings;sans-serif" w:hAnsi="Wingdings;sans-serif"/>
          <w:b w:val="false"/>
          <w:color w:val="000000"/>
          <w:sz w:val="18"/>
        </w:rPr>
        <w:t>x</w:t>
      </w:r>
      <w:r>
        <w:rPr>
          <w:color w:val="000000"/>
        </w:rPr>
        <w:t xml:space="preserve"> </w:t>
      </w:r>
    </w:p>
    <w:p>
      <w:pPr>
        <w:pStyle w:val="TextBody"/>
        <w:bidi w:val="0"/>
        <w:spacing w:lineRule="auto" w:line="288" w:before="60" w:after="283"/>
        <w:ind w:left="0" w:right="0" w:firstLine="720"/>
        <w:jc w:val="left"/>
        <w:rPr>
          <w:rFonts w:ascii="Times New Roman;serif" w:hAnsi="Times New Roman;serif"/>
          <w:b w:val="false"/>
          <w:color w:val="000000"/>
          <w:sz w:val="18"/>
        </w:rPr>
      </w:pPr>
      <w:r>
        <w:rPr>
          <w:rFonts w:ascii="Times New Roman;serif" w:hAnsi="Times New Roman;serif"/>
          <w:b w:val="false"/>
          <w:color w:val="000000"/>
          <w:sz w:val="18"/>
        </w:rPr>
        <w:t>As of April 30, 2026, the registrant had 99,180,575 shares of common stock, $0.0001 par value per share, outstanding.</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0"/>
        <w:jc w:val="left"/>
        <w:rPr/>
      </w:pPr>
      <w:hyperlink w:anchor="i7f5619487a1149c59a3dd36fee75a584_7">
        <w:r>
          <w:rPr>
            <w:rStyle w:val="InternetLink"/>
            <w:rFonts w:ascii="Times New Roman;serif" w:hAnsi="Times New Roman;serif"/>
            <w:b w:val="false"/>
            <w:color w:val="0000FF"/>
            <w:sz w:val="20"/>
            <w:u w:val="single"/>
          </w:rPr>
          <w:t>Table of Contents</w:t>
        </w:r>
      </w:hyperlink>
    </w:p>
    <w:p>
      <w:pPr>
        <w:pStyle w:val="TextBody"/>
        <w:bidi w:val="0"/>
        <w:spacing w:lineRule="auto" w:line="288" w:before="200" w:after="283"/>
        <w:jc w:val="center"/>
        <w:rPr>
          <w:rFonts w:ascii="Times New Roman;serif" w:hAnsi="Times New Roman;serif"/>
          <w:b/>
          <w:color w:val="000000"/>
          <w:sz w:val="20"/>
        </w:rPr>
      </w:pPr>
      <w:r>
        <w:rPr>
          <w:rFonts w:ascii="Times New Roman;serif" w:hAnsi="Times New Roman;serif"/>
          <w:b/>
          <w:color w:val="000000"/>
          <w:sz w:val="20"/>
        </w:rPr>
        <w:t>Table of Contents</w:t>
      </w:r>
    </w:p>
    <w:tbl>
      <w:tblPr>
        <w:tblW w:w="9405" w:type="dxa"/>
        <w:jc w:val="left"/>
        <w:tblInd w:w="0" w:type="dxa"/>
        <w:tblLayout w:type="fixed"/>
        <w:tblCellMar>
          <w:top w:w="28" w:type="dxa"/>
          <w:left w:w="28" w:type="dxa"/>
          <w:bottom w:w="28" w:type="dxa"/>
          <w:right w:w="28" w:type="dxa"/>
        </w:tblCellMar>
      </w:tblPr>
      <w:tblGrid>
        <w:gridCol w:w="320"/>
        <w:gridCol w:w="281"/>
        <w:gridCol w:w="283"/>
        <w:gridCol w:w="2669"/>
        <w:gridCol w:w="2669"/>
        <w:gridCol w:w="2672"/>
        <w:gridCol w:w="149"/>
        <w:gridCol w:w="149"/>
        <w:gridCol w:w="213"/>
      </w:tblGrid>
      <w:tr>
        <w:trPr/>
        <w:tc>
          <w:tcPr>
            <w:tcW w:w="320" w:type="dxa"/>
            <w:tcBorders/>
            <w:vAlign w:val="center"/>
          </w:tcPr>
          <w:p>
            <w:pPr>
              <w:pStyle w:val="TableContents"/>
              <w:bidi w:val="0"/>
              <w:spacing w:before="0" w:after="283"/>
              <w:jc w:val="left"/>
              <w:rPr>
                <w:sz w:val="4"/>
                <w:szCs w:val="4"/>
              </w:rPr>
            </w:pPr>
            <w:r>
              <w:rPr>
                <w:sz w:val="4"/>
                <w:szCs w:val="4"/>
              </w:rPr>
            </w:r>
          </w:p>
        </w:tc>
        <w:tc>
          <w:tcPr>
            <w:tcW w:w="281" w:type="dxa"/>
            <w:tcBorders/>
            <w:vAlign w:val="center"/>
          </w:tcPr>
          <w:p>
            <w:pPr>
              <w:pStyle w:val="TableContents"/>
              <w:bidi w:val="0"/>
              <w:spacing w:before="0" w:after="283"/>
              <w:jc w:val="left"/>
              <w:rPr>
                <w:sz w:val="4"/>
                <w:szCs w:val="4"/>
              </w:rPr>
            </w:pPr>
            <w:r>
              <w:rPr>
                <w:sz w:val="4"/>
                <w:szCs w:val="4"/>
              </w:rPr>
            </w:r>
          </w:p>
        </w:tc>
        <w:tc>
          <w:tcPr>
            <w:tcW w:w="283" w:type="dxa"/>
            <w:tcBorders/>
            <w:vAlign w:val="center"/>
          </w:tcPr>
          <w:p>
            <w:pPr>
              <w:pStyle w:val="TableContents"/>
              <w:bidi w:val="0"/>
              <w:spacing w:before="0" w:after="283"/>
              <w:jc w:val="left"/>
              <w:rPr>
                <w:sz w:val="4"/>
                <w:szCs w:val="4"/>
              </w:rPr>
            </w:pPr>
            <w:r>
              <w:rPr>
                <w:sz w:val="4"/>
                <w:szCs w:val="4"/>
              </w:rPr>
            </w:r>
          </w:p>
        </w:tc>
        <w:tc>
          <w:tcPr>
            <w:tcW w:w="2669" w:type="dxa"/>
            <w:tcBorders/>
            <w:vAlign w:val="center"/>
          </w:tcPr>
          <w:p>
            <w:pPr>
              <w:pStyle w:val="TableContents"/>
              <w:bidi w:val="0"/>
              <w:spacing w:before="0" w:after="283"/>
              <w:jc w:val="left"/>
              <w:rPr>
                <w:sz w:val="4"/>
                <w:szCs w:val="4"/>
              </w:rPr>
            </w:pPr>
            <w:r>
              <w:rPr>
                <w:sz w:val="4"/>
                <w:szCs w:val="4"/>
              </w:rPr>
            </w:r>
          </w:p>
        </w:tc>
        <w:tc>
          <w:tcPr>
            <w:tcW w:w="2669" w:type="dxa"/>
            <w:tcBorders/>
            <w:vAlign w:val="center"/>
          </w:tcPr>
          <w:p>
            <w:pPr>
              <w:pStyle w:val="TableContents"/>
              <w:bidi w:val="0"/>
              <w:spacing w:before="0" w:after="283"/>
              <w:jc w:val="left"/>
              <w:rPr>
                <w:sz w:val="4"/>
                <w:szCs w:val="4"/>
              </w:rPr>
            </w:pPr>
            <w:r>
              <w:rPr>
                <w:sz w:val="4"/>
                <w:szCs w:val="4"/>
              </w:rPr>
            </w:r>
          </w:p>
        </w:tc>
        <w:tc>
          <w:tcPr>
            <w:tcW w:w="2672"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r>
      <w:tr>
        <w:trPr/>
        <w:tc>
          <w:tcPr>
            <w:tcW w:w="8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lineRule="auto" w:line="252" w:before="0" w:after="283"/>
              <w:jc w:val="left"/>
              <w:rPr>
                <w:rFonts w:ascii="Times New Roman;serif" w:hAnsi="Times New Roman;serif"/>
                <w:b/>
                <w:color w:val="000000"/>
                <w:sz w:val="16"/>
              </w:rPr>
            </w:pPr>
            <w:r>
              <w:rPr>
                <w:rFonts w:ascii="Times New Roman;serif" w:hAnsi="Times New Roman;serif"/>
                <w:b/>
                <w:color w:val="000000"/>
                <w:sz w:val="16"/>
              </w:rPr>
              <w:t>Page</w:t>
            </w:r>
          </w:p>
        </w:tc>
      </w:tr>
      <w:tr>
        <w:trPr/>
        <w:tc>
          <w:tcPr>
            <w:tcW w:w="884" w:type="dxa"/>
            <w:gridSpan w:val="3"/>
            <w:tcBorders/>
            <w:tcMar>
              <w:top w:w="0" w:type="dxa"/>
              <w:left w:w="0" w:type="dxa"/>
              <w:bottom w:w="0" w:type="dxa"/>
              <w:right w:w="0" w:type="dxa"/>
            </w:tcMar>
            <w:vAlign w:val="center"/>
          </w:tcPr>
          <w:p>
            <w:pPr>
              <w:pStyle w:val="TableContents"/>
              <w:bidi w:val="0"/>
              <w:spacing w:lineRule="auto" w:line="252" w:before="0" w:after="0"/>
              <w:jc w:val="left"/>
              <w:rPr/>
            </w:pPr>
            <w:hyperlink w:anchor="i7f5619487a1149c59a3dd36fee75a584_10">
              <w:r>
                <w:rPr>
                  <w:rStyle w:val="InternetLink"/>
                  <w:rFonts w:ascii="Times New Roman;serif" w:hAnsi="Times New Roman;serif"/>
                  <w:b/>
                  <w:strike w:val="false"/>
                  <w:dstrike w:val="false"/>
                  <w:color w:val="000000"/>
                  <w:sz w:val="20"/>
                  <w:u w:val="none"/>
                  <w:effect w:val="none"/>
                </w:rPr>
                <w:t>PART I.</w:t>
              </w:r>
            </w:hyperlink>
          </w:p>
        </w:tc>
        <w:tc>
          <w:tcPr>
            <w:tcW w:w="8010" w:type="dxa"/>
            <w:gridSpan w:val="3"/>
            <w:tcBorders/>
            <w:tcMar>
              <w:top w:w="0" w:type="dxa"/>
              <w:left w:w="0" w:type="dxa"/>
              <w:bottom w:w="0" w:type="dxa"/>
              <w:right w:w="0" w:type="dxa"/>
            </w:tcMar>
            <w:vAlign w:val="center"/>
          </w:tcPr>
          <w:p>
            <w:pPr>
              <w:pStyle w:val="TableContents"/>
              <w:bidi w:val="0"/>
              <w:spacing w:lineRule="auto" w:line="252" w:before="0" w:after="0"/>
              <w:jc w:val="left"/>
              <w:rPr/>
            </w:pPr>
            <w:hyperlink w:anchor="i7f5619487a1149c59a3dd36fee75a584_10">
              <w:r>
                <w:rPr>
                  <w:rStyle w:val="InternetLink"/>
                  <w:rFonts w:ascii="Times New Roman;serif" w:hAnsi="Times New Roman;serif"/>
                  <w:b w:val="false"/>
                  <w:color w:val="0000FF"/>
                  <w:sz w:val="20"/>
                  <w:u w:val="single"/>
                </w:rPr>
                <w:t>FINANCIAL INFORMATION</w:t>
              </w:r>
            </w:hyperlink>
          </w:p>
        </w:tc>
        <w:tc>
          <w:tcPr>
            <w:tcW w:w="51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52" w:before="0" w:after="0"/>
              <w:jc w:val="right"/>
              <w:rPr/>
            </w:pPr>
            <w:hyperlink w:anchor="i7f5619487a1149c59a3dd36fee75a584_10">
              <w:r>
                <w:rPr>
                  <w:rStyle w:val="InternetLink"/>
                  <w:rFonts w:ascii="Times New Roman;serif" w:hAnsi="Times New Roman;serif"/>
                  <w:b w:val="false"/>
                  <w:strike w:val="false"/>
                  <w:dstrike w:val="false"/>
                  <w:color w:val="000000"/>
                  <w:sz w:val="20"/>
                  <w:u w:val="none"/>
                  <w:effect w:val="none"/>
                </w:rPr>
                <w:t>1</w:t>
              </w:r>
            </w:hyperlink>
          </w:p>
        </w:tc>
      </w:tr>
      <w:tr>
        <w:trPr/>
        <w:tc>
          <w:tcPr>
            <w:tcW w:w="884" w:type="dxa"/>
            <w:gridSpan w:val="3"/>
            <w:tcBorders/>
            <w:tcMar>
              <w:top w:w="0" w:type="dxa"/>
              <w:left w:w="0" w:type="dxa"/>
              <w:bottom w:w="0" w:type="dxa"/>
              <w:right w:w="0" w:type="dxa"/>
            </w:tcMar>
            <w:vAlign w:val="center"/>
          </w:tcPr>
          <w:p>
            <w:pPr>
              <w:pStyle w:val="TableContents"/>
              <w:bidi w:val="0"/>
              <w:spacing w:lineRule="auto" w:line="252" w:before="0" w:after="0"/>
              <w:jc w:val="left"/>
              <w:rPr/>
            </w:pPr>
            <w:hyperlink w:anchor="i7f5619487a1149c59a3dd36fee75a584_13">
              <w:r>
                <w:rPr>
                  <w:rStyle w:val="InternetLink"/>
                  <w:rFonts w:ascii="Times New Roman;serif" w:hAnsi="Times New Roman;serif"/>
                  <w:b w:val="false"/>
                  <w:strike w:val="false"/>
                  <w:dstrike w:val="false"/>
                  <w:color w:val="000000"/>
                  <w:sz w:val="20"/>
                  <w:u w:val="none"/>
                  <w:effect w:val="none"/>
                </w:rPr>
                <w:t>Item 1.</w:t>
              </w:r>
            </w:hyperlink>
          </w:p>
        </w:tc>
        <w:tc>
          <w:tcPr>
            <w:tcW w:w="8010" w:type="dxa"/>
            <w:gridSpan w:val="3"/>
            <w:tcBorders/>
            <w:tcMar>
              <w:top w:w="0" w:type="dxa"/>
              <w:left w:w="0" w:type="dxa"/>
              <w:bottom w:w="0" w:type="dxa"/>
              <w:right w:w="0" w:type="dxa"/>
            </w:tcMar>
            <w:vAlign w:val="center"/>
          </w:tcPr>
          <w:p>
            <w:pPr>
              <w:pStyle w:val="TableContents"/>
              <w:bidi w:val="0"/>
              <w:spacing w:lineRule="auto" w:line="252" w:before="0" w:after="0"/>
              <w:jc w:val="left"/>
              <w:rPr/>
            </w:pPr>
            <w:hyperlink w:anchor="i7f5619487a1149c59a3dd36fee75a584_13">
              <w:r>
                <w:rPr>
                  <w:rStyle w:val="InternetLink"/>
                  <w:rFonts w:ascii="Times New Roman;serif" w:hAnsi="Times New Roman;serif"/>
                  <w:b w:val="false"/>
                  <w:color w:val="0000FF"/>
                  <w:sz w:val="20"/>
                  <w:u w:val="single"/>
                </w:rPr>
                <w:t>Financial Statements (Unaudited)</w:t>
              </w:r>
            </w:hyperlink>
          </w:p>
        </w:tc>
        <w:tc>
          <w:tcPr>
            <w:tcW w:w="511" w:type="dxa"/>
            <w:gridSpan w:val="3"/>
            <w:tcBorders/>
            <w:tcMar>
              <w:top w:w="0" w:type="dxa"/>
              <w:left w:w="0" w:type="dxa"/>
              <w:bottom w:w="0" w:type="dxa"/>
              <w:right w:w="0" w:type="dxa"/>
            </w:tcMar>
            <w:vAlign w:val="center"/>
          </w:tcPr>
          <w:p>
            <w:pPr>
              <w:pStyle w:val="TableContents"/>
              <w:bidi w:val="0"/>
              <w:spacing w:lineRule="auto" w:line="252" w:before="0" w:after="0"/>
              <w:jc w:val="right"/>
              <w:rPr/>
            </w:pPr>
            <w:hyperlink w:anchor="i7f5619487a1149c59a3dd36fee75a584_16">
              <w:r>
                <w:rPr>
                  <w:rStyle w:val="InternetLink"/>
                  <w:rFonts w:ascii="Times New Roman;serif" w:hAnsi="Times New Roman;serif"/>
                  <w:b w:val="false"/>
                  <w:strike w:val="false"/>
                  <w:dstrike w:val="false"/>
                  <w:color w:val="000000"/>
                  <w:sz w:val="20"/>
                  <w:u w:val="none"/>
                  <w:effect w:val="none"/>
                </w:rPr>
                <w:t>1</w:t>
              </w:r>
            </w:hyperlink>
          </w:p>
        </w:tc>
      </w:tr>
      <w:tr>
        <w:trPr/>
        <w:tc>
          <w:tcPr>
            <w:tcW w:w="8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0" w:type="dxa"/>
            <w:gridSpan w:val="3"/>
            <w:tcBorders/>
            <w:tcMar>
              <w:top w:w="0" w:type="dxa"/>
              <w:left w:w="0" w:type="dxa"/>
              <w:bottom w:w="0" w:type="dxa"/>
              <w:right w:w="0" w:type="dxa"/>
            </w:tcMar>
            <w:vAlign w:val="center"/>
          </w:tcPr>
          <w:p>
            <w:pPr>
              <w:pStyle w:val="TableContents"/>
              <w:bidi w:val="0"/>
              <w:spacing w:lineRule="auto" w:line="252" w:before="0" w:after="0"/>
              <w:jc w:val="left"/>
              <w:rPr/>
            </w:pPr>
            <w:hyperlink w:anchor="i7f5619487a1149c59a3dd36fee75a584_16">
              <w:r>
                <w:rPr>
                  <w:rStyle w:val="InternetLink"/>
                  <w:rFonts w:ascii="Times New Roman;serif" w:hAnsi="Times New Roman;serif"/>
                  <w:b w:val="false"/>
                  <w:color w:val="0000FF"/>
                  <w:sz w:val="20"/>
                  <w:u w:val="single"/>
                </w:rPr>
                <w:t>Condensed Consolidated Balance Sheets</w:t>
              </w:r>
            </w:hyperlink>
          </w:p>
        </w:tc>
        <w:tc>
          <w:tcPr>
            <w:tcW w:w="511" w:type="dxa"/>
            <w:gridSpan w:val="3"/>
            <w:tcBorders/>
            <w:tcMar>
              <w:top w:w="0" w:type="dxa"/>
              <w:left w:w="0" w:type="dxa"/>
              <w:bottom w:w="0" w:type="dxa"/>
              <w:right w:w="0" w:type="dxa"/>
            </w:tcMar>
            <w:vAlign w:val="center"/>
          </w:tcPr>
          <w:p>
            <w:pPr>
              <w:pStyle w:val="TableContents"/>
              <w:bidi w:val="0"/>
              <w:spacing w:lineRule="auto" w:line="252" w:before="0" w:after="0"/>
              <w:jc w:val="right"/>
              <w:rPr/>
            </w:pPr>
            <w:hyperlink w:anchor="i7f5619487a1149c59a3dd36fee75a584_16">
              <w:r>
                <w:rPr>
                  <w:rStyle w:val="InternetLink"/>
                  <w:rFonts w:ascii="Times New Roman;serif" w:hAnsi="Times New Roman;serif"/>
                  <w:b w:val="false"/>
                  <w:strike w:val="false"/>
                  <w:dstrike w:val="false"/>
                  <w:color w:val="000000"/>
                  <w:sz w:val="20"/>
                  <w:u w:val="none"/>
                  <w:effect w:val="none"/>
                </w:rPr>
                <w:t>1</w:t>
              </w:r>
            </w:hyperlink>
          </w:p>
        </w:tc>
      </w:tr>
      <w:tr>
        <w:trPr/>
        <w:tc>
          <w:tcPr>
            <w:tcW w:w="8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0" w:type="dxa"/>
            <w:gridSpan w:val="3"/>
            <w:tcBorders/>
            <w:tcMar>
              <w:top w:w="0" w:type="dxa"/>
              <w:left w:w="0" w:type="dxa"/>
              <w:bottom w:w="0" w:type="dxa"/>
              <w:right w:w="0" w:type="dxa"/>
            </w:tcMar>
            <w:vAlign w:val="center"/>
          </w:tcPr>
          <w:p>
            <w:pPr>
              <w:pStyle w:val="TableContents"/>
              <w:bidi w:val="0"/>
              <w:spacing w:lineRule="auto" w:line="252" w:before="0" w:after="0"/>
              <w:jc w:val="left"/>
              <w:rPr/>
            </w:pPr>
            <w:hyperlink w:anchor="i7f5619487a1149c59a3dd36fee75a584_19">
              <w:r>
                <w:rPr>
                  <w:rStyle w:val="InternetLink"/>
                  <w:rFonts w:ascii="Times New Roman;serif" w:hAnsi="Times New Roman;serif"/>
                  <w:b w:val="false"/>
                  <w:color w:val="0000FF"/>
                  <w:sz w:val="20"/>
                  <w:u w:val="single"/>
                </w:rPr>
                <w:t>Condensed Consolidated Statements of Operations and Comprehensive Loss</w:t>
              </w:r>
            </w:hyperlink>
          </w:p>
        </w:tc>
        <w:tc>
          <w:tcPr>
            <w:tcW w:w="511" w:type="dxa"/>
            <w:gridSpan w:val="3"/>
            <w:tcBorders/>
            <w:tcMar>
              <w:top w:w="0" w:type="dxa"/>
              <w:left w:w="0" w:type="dxa"/>
              <w:bottom w:w="0" w:type="dxa"/>
              <w:right w:w="0" w:type="dxa"/>
            </w:tcMar>
            <w:vAlign w:val="center"/>
          </w:tcPr>
          <w:p>
            <w:pPr>
              <w:pStyle w:val="TableContents"/>
              <w:bidi w:val="0"/>
              <w:spacing w:lineRule="auto" w:line="252" w:before="0" w:after="0"/>
              <w:jc w:val="right"/>
              <w:rPr/>
            </w:pPr>
            <w:hyperlink w:anchor="i7f5619487a1149c59a3dd36fee75a584_19">
              <w:r>
                <w:rPr>
                  <w:rStyle w:val="InternetLink"/>
                  <w:rFonts w:ascii="Times New Roman;serif" w:hAnsi="Times New Roman;serif"/>
                  <w:b w:val="false"/>
                  <w:strike w:val="false"/>
                  <w:dstrike w:val="false"/>
                  <w:color w:val="000000"/>
                  <w:sz w:val="20"/>
                  <w:u w:val="none"/>
                  <w:effect w:val="none"/>
                </w:rPr>
                <w:t>2</w:t>
              </w:r>
            </w:hyperlink>
          </w:p>
        </w:tc>
      </w:tr>
      <w:tr>
        <w:trPr/>
        <w:tc>
          <w:tcPr>
            <w:tcW w:w="8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0"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7f5619487a1149c59a3dd36fee75a584_22">
              <w:r>
                <w:rPr>
                  <w:rStyle w:val="InternetLink"/>
                  <w:rFonts w:ascii="Times New Roman;serif" w:hAnsi="Times New Roman;serif"/>
                  <w:b w:val="false"/>
                  <w:color w:val="0000FF"/>
                  <w:sz w:val="20"/>
                  <w:u w:val="single"/>
                </w:rPr>
                <w:t>Condensed Consolidated Statements of Stockholders’ Equity</w:t>
              </w:r>
            </w:hyperlink>
          </w:p>
        </w:tc>
        <w:tc>
          <w:tcPr>
            <w:tcW w:w="511" w:type="dxa"/>
            <w:gridSpan w:val="3"/>
            <w:tcBorders/>
            <w:tcMar>
              <w:top w:w="0" w:type="dxa"/>
              <w:left w:w="0" w:type="dxa"/>
              <w:bottom w:w="0" w:type="dxa"/>
              <w:right w:w="0" w:type="dxa"/>
            </w:tcMar>
            <w:vAlign w:val="center"/>
          </w:tcPr>
          <w:p>
            <w:pPr>
              <w:pStyle w:val="TableContents"/>
              <w:bidi w:val="0"/>
              <w:spacing w:lineRule="auto" w:line="252" w:before="0" w:after="0"/>
              <w:jc w:val="right"/>
              <w:rPr/>
            </w:pPr>
            <w:hyperlink w:anchor="i7f5619487a1149c59a3dd36fee75a584_22">
              <w:r>
                <w:rPr>
                  <w:rStyle w:val="InternetLink"/>
                  <w:rFonts w:ascii="Times New Roman;serif" w:hAnsi="Times New Roman;serif"/>
                  <w:b w:val="false"/>
                  <w:strike w:val="false"/>
                  <w:dstrike w:val="false"/>
                  <w:color w:val="000000"/>
                  <w:sz w:val="20"/>
                  <w:u w:val="none"/>
                  <w:effect w:val="none"/>
                </w:rPr>
                <w:t>3</w:t>
              </w:r>
            </w:hyperlink>
          </w:p>
        </w:tc>
      </w:tr>
      <w:tr>
        <w:trPr/>
        <w:tc>
          <w:tcPr>
            <w:tcW w:w="8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0" w:type="dxa"/>
            <w:gridSpan w:val="3"/>
            <w:tcBorders/>
            <w:tcMar>
              <w:top w:w="0" w:type="dxa"/>
              <w:left w:w="0" w:type="dxa"/>
              <w:bottom w:w="0" w:type="dxa"/>
              <w:right w:w="0" w:type="dxa"/>
            </w:tcMar>
            <w:vAlign w:val="center"/>
          </w:tcPr>
          <w:p>
            <w:pPr>
              <w:pStyle w:val="TableContents"/>
              <w:bidi w:val="0"/>
              <w:spacing w:lineRule="auto" w:line="252" w:before="0" w:after="0"/>
              <w:jc w:val="left"/>
              <w:rPr/>
            </w:pPr>
            <w:hyperlink w:anchor="i7f5619487a1149c59a3dd36fee75a584_25">
              <w:r>
                <w:rPr>
                  <w:rStyle w:val="InternetLink"/>
                  <w:rFonts w:ascii="Times New Roman;serif" w:hAnsi="Times New Roman;serif"/>
                  <w:b w:val="false"/>
                  <w:color w:val="0000FF"/>
                  <w:sz w:val="20"/>
                  <w:u w:val="single"/>
                </w:rPr>
                <w:t>Condensed Consolidated Statements of Cash Flows</w:t>
              </w:r>
            </w:hyperlink>
          </w:p>
        </w:tc>
        <w:tc>
          <w:tcPr>
            <w:tcW w:w="511" w:type="dxa"/>
            <w:gridSpan w:val="3"/>
            <w:tcBorders/>
            <w:tcMar>
              <w:top w:w="0" w:type="dxa"/>
              <w:left w:w="0" w:type="dxa"/>
              <w:bottom w:w="0" w:type="dxa"/>
              <w:right w:w="0" w:type="dxa"/>
            </w:tcMar>
            <w:vAlign w:val="center"/>
          </w:tcPr>
          <w:p>
            <w:pPr>
              <w:pStyle w:val="TableContents"/>
              <w:bidi w:val="0"/>
              <w:spacing w:lineRule="auto" w:line="252" w:before="0" w:after="0"/>
              <w:jc w:val="right"/>
              <w:rPr/>
            </w:pPr>
            <w:hyperlink w:anchor="i7f5619487a1149c59a3dd36fee75a584_25">
              <w:r>
                <w:rPr>
                  <w:rStyle w:val="InternetLink"/>
                  <w:rFonts w:ascii="Times New Roman;serif" w:hAnsi="Times New Roman;serif"/>
                  <w:b w:val="false"/>
                  <w:strike w:val="false"/>
                  <w:dstrike w:val="false"/>
                  <w:color w:val="000000"/>
                  <w:sz w:val="20"/>
                  <w:u w:val="none"/>
                  <w:effect w:val="none"/>
                </w:rPr>
                <w:t>4</w:t>
              </w:r>
            </w:hyperlink>
          </w:p>
        </w:tc>
      </w:tr>
      <w:tr>
        <w:trPr/>
        <w:tc>
          <w:tcPr>
            <w:tcW w:w="8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0" w:type="dxa"/>
            <w:gridSpan w:val="3"/>
            <w:tcBorders/>
            <w:tcMar>
              <w:top w:w="0" w:type="dxa"/>
              <w:left w:w="0" w:type="dxa"/>
              <w:bottom w:w="0" w:type="dxa"/>
              <w:right w:w="0" w:type="dxa"/>
            </w:tcMar>
            <w:vAlign w:val="center"/>
          </w:tcPr>
          <w:p>
            <w:pPr>
              <w:pStyle w:val="TableContents"/>
              <w:bidi w:val="0"/>
              <w:spacing w:lineRule="auto" w:line="252" w:before="0" w:after="0"/>
              <w:jc w:val="left"/>
              <w:rPr/>
            </w:pPr>
            <w:hyperlink w:anchor="i7f5619487a1149c59a3dd36fee75a584_28">
              <w:r>
                <w:rPr>
                  <w:rStyle w:val="InternetLink"/>
                  <w:rFonts w:ascii="Times New Roman;serif" w:hAnsi="Times New Roman;serif"/>
                  <w:b w:val="false"/>
                  <w:color w:val="0000FF"/>
                  <w:sz w:val="20"/>
                  <w:u w:val="single"/>
                </w:rPr>
                <w:t>Notes to Unaudited Condensed Consolidated Financial Statements</w:t>
              </w:r>
            </w:hyperlink>
          </w:p>
        </w:tc>
        <w:tc>
          <w:tcPr>
            <w:tcW w:w="511" w:type="dxa"/>
            <w:gridSpan w:val="3"/>
            <w:tcBorders/>
            <w:tcMar>
              <w:top w:w="0" w:type="dxa"/>
              <w:left w:w="0" w:type="dxa"/>
              <w:bottom w:w="0" w:type="dxa"/>
              <w:right w:w="0" w:type="dxa"/>
            </w:tcMar>
            <w:vAlign w:val="center"/>
          </w:tcPr>
          <w:p>
            <w:pPr>
              <w:pStyle w:val="TableContents"/>
              <w:bidi w:val="0"/>
              <w:spacing w:lineRule="auto" w:line="252" w:before="0" w:after="0"/>
              <w:jc w:val="right"/>
              <w:rPr/>
            </w:pPr>
            <w:hyperlink w:anchor="i7f5619487a1149c59a3dd36fee75a584_28">
              <w:r>
                <w:rPr>
                  <w:rStyle w:val="InternetLink"/>
                  <w:rFonts w:ascii="Times New Roman;serif" w:hAnsi="Times New Roman;serif"/>
                  <w:b w:val="false"/>
                  <w:strike w:val="false"/>
                  <w:dstrike w:val="false"/>
                  <w:color w:val="000000"/>
                  <w:sz w:val="20"/>
                  <w:u w:val="none"/>
                  <w:effect w:val="none"/>
                </w:rPr>
                <w:t>5</w:t>
              </w:r>
            </w:hyperlink>
          </w:p>
        </w:tc>
      </w:tr>
      <w:tr>
        <w:trPr/>
        <w:tc>
          <w:tcPr>
            <w:tcW w:w="884" w:type="dxa"/>
            <w:gridSpan w:val="3"/>
            <w:tcBorders/>
            <w:tcMar>
              <w:top w:w="0" w:type="dxa"/>
              <w:left w:w="0" w:type="dxa"/>
              <w:bottom w:w="0" w:type="dxa"/>
              <w:right w:w="0" w:type="dxa"/>
            </w:tcMar>
            <w:vAlign w:val="center"/>
          </w:tcPr>
          <w:p>
            <w:pPr>
              <w:pStyle w:val="TableContents"/>
              <w:bidi w:val="0"/>
              <w:spacing w:lineRule="auto" w:line="252" w:before="0" w:after="0"/>
              <w:jc w:val="left"/>
              <w:rPr/>
            </w:pPr>
            <w:hyperlink w:anchor="i7f5619487a1149c59a3dd36fee75a584_73">
              <w:r>
                <w:rPr>
                  <w:rStyle w:val="InternetLink"/>
                  <w:rFonts w:ascii="Times New Roman;serif" w:hAnsi="Times New Roman;serif"/>
                  <w:b w:val="false"/>
                  <w:strike w:val="false"/>
                  <w:dstrike w:val="false"/>
                  <w:color w:val="000000"/>
                  <w:sz w:val="20"/>
                  <w:u w:val="none"/>
                  <w:effect w:val="none"/>
                </w:rPr>
                <w:t>Item 2.</w:t>
              </w:r>
            </w:hyperlink>
          </w:p>
        </w:tc>
        <w:tc>
          <w:tcPr>
            <w:tcW w:w="8010" w:type="dxa"/>
            <w:gridSpan w:val="3"/>
            <w:tcBorders/>
            <w:tcMar>
              <w:top w:w="0" w:type="dxa"/>
              <w:left w:w="0" w:type="dxa"/>
              <w:bottom w:w="0" w:type="dxa"/>
              <w:right w:w="0" w:type="dxa"/>
            </w:tcMar>
            <w:vAlign w:val="center"/>
          </w:tcPr>
          <w:p>
            <w:pPr>
              <w:pStyle w:val="TableContents"/>
              <w:bidi w:val="0"/>
              <w:spacing w:lineRule="auto" w:line="252" w:before="0" w:after="0"/>
              <w:jc w:val="left"/>
              <w:rPr/>
            </w:pPr>
            <w:hyperlink w:anchor="i7f5619487a1149c59a3dd36fee75a584_73">
              <w:r>
                <w:rPr>
                  <w:rStyle w:val="InternetLink"/>
                  <w:rFonts w:ascii="Times New Roman;serif" w:hAnsi="Times New Roman;serif"/>
                  <w:b w:val="false"/>
                  <w:color w:val="0000FF"/>
                  <w:sz w:val="20"/>
                  <w:u w:val="single"/>
                </w:rPr>
                <w:t>Management’s Discussion and Analysis of Financial Condition and Results of Operations</w:t>
              </w:r>
            </w:hyperlink>
          </w:p>
        </w:tc>
        <w:tc>
          <w:tcPr>
            <w:tcW w:w="511" w:type="dxa"/>
            <w:gridSpan w:val="3"/>
            <w:tcBorders/>
            <w:tcMar>
              <w:top w:w="0" w:type="dxa"/>
              <w:left w:w="0" w:type="dxa"/>
              <w:bottom w:w="0" w:type="dxa"/>
              <w:right w:w="0" w:type="dxa"/>
            </w:tcMar>
            <w:vAlign w:val="center"/>
          </w:tcPr>
          <w:p>
            <w:pPr>
              <w:pStyle w:val="TableContents"/>
              <w:bidi w:val="0"/>
              <w:spacing w:lineRule="auto" w:line="252" w:before="0" w:after="0"/>
              <w:jc w:val="right"/>
              <w:rPr/>
            </w:pPr>
            <w:hyperlink w:anchor="i7f5619487a1149c59a3dd36fee75a584_73">
              <w:r>
                <w:rPr>
                  <w:rStyle w:val="InternetLink"/>
                  <w:rFonts w:ascii="Times New Roman;serif" w:hAnsi="Times New Roman;serif"/>
                  <w:b w:val="false"/>
                  <w:strike w:val="false"/>
                  <w:dstrike w:val="false"/>
                  <w:color w:val="000000"/>
                  <w:sz w:val="20"/>
                  <w:u w:val="none"/>
                  <w:effect w:val="none"/>
                </w:rPr>
                <w:t>17</w:t>
              </w:r>
            </w:hyperlink>
          </w:p>
        </w:tc>
      </w:tr>
      <w:tr>
        <w:trPr/>
        <w:tc>
          <w:tcPr>
            <w:tcW w:w="884" w:type="dxa"/>
            <w:gridSpan w:val="3"/>
            <w:tcBorders/>
            <w:tcMar>
              <w:top w:w="0" w:type="dxa"/>
              <w:left w:w="0" w:type="dxa"/>
              <w:bottom w:w="0" w:type="dxa"/>
              <w:right w:w="0" w:type="dxa"/>
            </w:tcMar>
            <w:vAlign w:val="center"/>
          </w:tcPr>
          <w:p>
            <w:pPr>
              <w:pStyle w:val="TableContents"/>
              <w:bidi w:val="0"/>
              <w:spacing w:lineRule="auto" w:line="252" w:before="0" w:after="0"/>
              <w:jc w:val="left"/>
              <w:rPr/>
            </w:pPr>
            <w:hyperlink w:anchor="i7f5619487a1149c59a3dd36fee75a584_100">
              <w:r>
                <w:rPr>
                  <w:rStyle w:val="InternetLink"/>
                  <w:rFonts w:ascii="Times New Roman;serif" w:hAnsi="Times New Roman;serif"/>
                  <w:b w:val="false"/>
                  <w:strike w:val="false"/>
                  <w:dstrike w:val="false"/>
                  <w:color w:val="000000"/>
                  <w:sz w:val="20"/>
                  <w:u w:val="none"/>
                  <w:effect w:val="none"/>
                </w:rPr>
                <w:t>Item 3.</w:t>
              </w:r>
            </w:hyperlink>
          </w:p>
        </w:tc>
        <w:tc>
          <w:tcPr>
            <w:tcW w:w="8010" w:type="dxa"/>
            <w:gridSpan w:val="3"/>
            <w:tcBorders/>
            <w:tcMar>
              <w:top w:w="0" w:type="dxa"/>
              <w:left w:w="0" w:type="dxa"/>
              <w:bottom w:w="0" w:type="dxa"/>
              <w:right w:w="0" w:type="dxa"/>
            </w:tcMar>
            <w:vAlign w:val="center"/>
          </w:tcPr>
          <w:p>
            <w:pPr>
              <w:pStyle w:val="TableContents"/>
              <w:bidi w:val="0"/>
              <w:spacing w:lineRule="auto" w:line="252" w:before="0" w:after="0"/>
              <w:jc w:val="left"/>
              <w:rPr/>
            </w:pPr>
            <w:hyperlink w:anchor="i7f5619487a1149c59a3dd36fee75a584_100">
              <w:r>
                <w:rPr>
                  <w:rStyle w:val="InternetLink"/>
                  <w:rFonts w:ascii="Times New Roman;serif" w:hAnsi="Times New Roman;serif"/>
                  <w:b w:val="false"/>
                  <w:color w:val="0000FF"/>
                  <w:sz w:val="20"/>
                  <w:u w:val="single"/>
                </w:rPr>
                <w:t>Quantitative and Qualitative Disclosures About Market Risk</w:t>
              </w:r>
            </w:hyperlink>
          </w:p>
        </w:tc>
        <w:tc>
          <w:tcPr>
            <w:tcW w:w="511" w:type="dxa"/>
            <w:gridSpan w:val="3"/>
            <w:tcBorders/>
            <w:tcMar>
              <w:top w:w="0" w:type="dxa"/>
              <w:left w:w="0" w:type="dxa"/>
              <w:bottom w:w="0" w:type="dxa"/>
              <w:right w:w="0" w:type="dxa"/>
            </w:tcMar>
            <w:vAlign w:val="center"/>
          </w:tcPr>
          <w:p>
            <w:pPr>
              <w:pStyle w:val="TableContents"/>
              <w:bidi w:val="0"/>
              <w:spacing w:lineRule="auto" w:line="252" w:before="0" w:after="0"/>
              <w:jc w:val="right"/>
              <w:rPr/>
            </w:pPr>
            <w:hyperlink w:anchor="i7f5619487a1149c59a3dd36fee75a584_100">
              <w:r>
                <w:rPr>
                  <w:rStyle w:val="InternetLink"/>
                  <w:rFonts w:ascii="Times New Roman;serif" w:hAnsi="Times New Roman;serif"/>
                  <w:b w:val="false"/>
                  <w:strike w:val="false"/>
                  <w:dstrike w:val="false"/>
                  <w:color w:val="000000"/>
                  <w:sz w:val="20"/>
                  <w:u w:val="none"/>
                  <w:effect w:val="none"/>
                </w:rPr>
                <w:t>26</w:t>
              </w:r>
            </w:hyperlink>
          </w:p>
        </w:tc>
      </w:tr>
      <w:tr>
        <w:trPr/>
        <w:tc>
          <w:tcPr>
            <w:tcW w:w="884" w:type="dxa"/>
            <w:gridSpan w:val="3"/>
            <w:tcBorders/>
            <w:tcMar>
              <w:top w:w="0" w:type="dxa"/>
              <w:left w:w="0" w:type="dxa"/>
              <w:bottom w:w="0" w:type="dxa"/>
              <w:right w:w="0" w:type="dxa"/>
            </w:tcMar>
            <w:vAlign w:val="center"/>
          </w:tcPr>
          <w:p>
            <w:pPr>
              <w:pStyle w:val="TableContents"/>
              <w:bidi w:val="0"/>
              <w:spacing w:lineRule="auto" w:line="252" w:before="0" w:after="0"/>
              <w:jc w:val="left"/>
              <w:rPr/>
            </w:pPr>
            <w:hyperlink w:anchor="i7f5619487a1149c59a3dd36fee75a584_103">
              <w:r>
                <w:rPr>
                  <w:rStyle w:val="InternetLink"/>
                  <w:rFonts w:ascii="Times New Roman;serif" w:hAnsi="Times New Roman;serif"/>
                  <w:b w:val="false"/>
                  <w:strike w:val="false"/>
                  <w:dstrike w:val="false"/>
                  <w:color w:val="000000"/>
                  <w:sz w:val="20"/>
                  <w:u w:val="none"/>
                  <w:effect w:val="none"/>
                </w:rPr>
                <w:t>Item 4.</w:t>
              </w:r>
            </w:hyperlink>
          </w:p>
        </w:tc>
        <w:tc>
          <w:tcPr>
            <w:tcW w:w="8010" w:type="dxa"/>
            <w:gridSpan w:val="3"/>
            <w:tcBorders/>
            <w:tcMar>
              <w:top w:w="0" w:type="dxa"/>
              <w:left w:w="0" w:type="dxa"/>
              <w:bottom w:w="0" w:type="dxa"/>
              <w:right w:w="0" w:type="dxa"/>
            </w:tcMar>
            <w:vAlign w:val="center"/>
          </w:tcPr>
          <w:p>
            <w:pPr>
              <w:pStyle w:val="TableContents"/>
              <w:bidi w:val="0"/>
              <w:spacing w:lineRule="auto" w:line="252" w:before="0" w:after="0"/>
              <w:jc w:val="left"/>
              <w:rPr/>
            </w:pPr>
            <w:hyperlink w:anchor="i7f5619487a1149c59a3dd36fee75a584_103">
              <w:r>
                <w:rPr>
                  <w:rStyle w:val="InternetLink"/>
                  <w:rFonts w:ascii="Times New Roman;serif" w:hAnsi="Times New Roman;serif"/>
                  <w:b w:val="false"/>
                  <w:color w:val="0000FF"/>
                  <w:sz w:val="20"/>
                  <w:u w:val="single"/>
                </w:rPr>
                <w:t>Controls and Procedures</w:t>
              </w:r>
            </w:hyperlink>
          </w:p>
        </w:tc>
        <w:tc>
          <w:tcPr>
            <w:tcW w:w="511" w:type="dxa"/>
            <w:gridSpan w:val="3"/>
            <w:tcBorders/>
            <w:tcMar>
              <w:top w:w="0" w:type="dxa"/>
              <w:left w:w="0" w:type="dxa"/>
              <w:bottom w:w="0" w:type="dxa"/>
              <w:right w:w="0" w:type="dxa"/>
            </w:tcMar>
            <w:vAlign w:val="center"/>
          </w:tcPr>
          <w:p>
            <w:pPr>
              <w:pStyle w:val="TableContents"/>
              <w:bidi w:val="0"/>
              <w:spacing w:lineRule="auto" w:line="252" w:before="0" w:after="0"/>
              <w:jc w:val="right"/>
              <w:rPr/>
            </w:pPr>
            <w:hyperlink w:anchor="i7f5619487a1149c59a3dd36fee75a584_103">
              <w:r>
                <w:rPr>
                  <w:rStyle w:val="InternetLink"/>
                  <w:rFonts w:ascii="Times New Roman;serif" w:hAnsi="Times New Roman;serif"/>
                  <w:b w:val="false"/>
                  <w:strike w:val="false"/>
                  <w:dstrike w:val="false"/>
                  <w:color w:val="000000"/>
                  <w:sz w:val="20"/>
                  <w:u w:val="none"/>
                  <w:effect w:val="none"/>
                </w:rPr>
                <w:t>26</w:t>
              </w:r>
            </w:hyperlink>
          </w:p>
        </w:tc>
      </w:tr>
      <w:tr>
        <w:trPr/>
        <w:tc>
          <w:tcPr>
            <w:tcW w:w="884" w:type="dxa"/>
            <w:gridSpan w:val="3"/>
            <w:tcBorders/>
            <w:tcMar>
              <w:top w:w="0" w:type="dxa"/>
              <w:left w:w="0" w:type="dxa"/>
              <w:bottom w:w="0" w:type="dxa"/>
              <w:right w:w="0" w:type="dxa"/>
            </w:tcMar>
            <w:vAlign w:val="center"/>
          </w:tcPr>
          <w:p>
            <w:pPr>
              <w:pStyle w:val="TableContents"/>
              <w:bidi w:val="0"/>
              <w:spacing w:lineRule="auto" w:line="252" w:before="0" w:after="0"/>
              <w:jc w:val="left"/>
              <w:rPr/>
            </w:pPr>
            <w:hyperlink w:anchor="i7f5619487a1149c59a3dd36fee75a584_106">
              <w:r>
                <w:rPr>
                  <w:rStyle w:val="InternetLink"/>
                  <w:rFonts w:ascii="Times New Roman;serif" w:hAnsi="Times New Roman;serif"/>
                  <w:b/>
                  <w:strike w:val="false"/>
                  <w:dstrike w:val="false"/>
                  <w:color w:val="000000"/>
                  <w:sz w:val="20"/>
                  <w:u w:val="none"/>
                  <w:effect w:val="none"/>
                </w:rPr>
                <w:t>PART II.</w:t>
              </w:r>
            </w:hyperlink>
          </w:p>
        </w:tc>
        <w:tc>
          <w:tcPr>
            <w:tcW w:w="8010" w:type="dxa"/>
            <w:gridSpan w:val="3"/>
            <w:tcBorders/>
            <w:tcMar>
              <w:top w:w="0" w:type="dxa"/>
              <w:left w:w="0" w:type="dxa"/>
              <w:bottom w:w="0" w:type="dxa"/>
              <w:right w:w="0" w:type="dxa"/>
            </w:tcMar>
            <w:vAlign w:val="center"/>
          </w:tcPr>
          <w:p>
            <w:pPr>
              <w:pStyle w:val="TableContents"/>
              <w:bidi w:val="0"/>
              <w:spacing w:lineRule="auto" w:line="252" w:before="0" w:after="0"/>
              <w:jc w:val="left"/>
              <w:rPr/>
            </w:pPr>
            <w:hyperlink w:anchor="i7f5619487a1149c59a3dd36fee75a584_106">
              <w:r>
                <w:rPr>
                  <w:rStyle w:val="InternetLink"/>
                  <w:rFonts w:ascii="Times New Roman;serif" w:hAnsi="Times New Roman;serif"/>
                  <w:b w:val="false"/>
                  <w:color w:val="0000FF"/>
                  <w:sz w:val="20"/>
                  <w:u w:val="single"/>
                </w:rPr>
                <w:t>OTHER INFORMATION</w:t>
              </w:r>
            </w:hyperlink>
          </w:p>
        </w:tc>
        <w:tc>
          <w:tcPr>
            <w:tcW w:w="511" w:type="dxa"/>
            <w:gridSpan w:val="3"/>
            <w:tcBorders/>
            <w:tcMar>
              <w:top w:w="0" w:type="dxa"/>
              <w:left w:w="0" w:type="dxa"/>
              <w:bottom w:w="0" w:type="dxa"/>
              <w:right w:w="0" w:type="dxa"/>
            </w:tcMar>
            <w:vAlign w:val="center"/>
          </w:tcPr>
          <w:p>
            <w:pPr>
              <w:pStyle w:val="TableContents"/>
              <w:bidi w:val="0"/>
              <w:spacing w:lineRule="auto" w:line="252" w:before="0" w:after="0"/>
              <w:jc w:val="right"/>
              <w:rPr/>
            </w:pPr>
            <w:hyperlink w:anchor="i7f5619487a1149c59a3dd36fee75a584_106">
              <w:r>
                <w:rPr>
                  <w:rStyle w:val="InternetLink"/>
                  <w:rFonts w:ascii="Times New Roman;serif" w:hAnsi="Times New Roman;serif"/>
                  <w:b w:val="false"/>
                  <w:strike w:val="false"/>
                  <w:dstrike w:val="false"/>
                  <w:color w:val="000000"/>
                  <w:sz w:val="20"/>
                  <w:u w:val="none"/>
                  <w:effect w:val="none"/>
                </w:rPr>
                <w:t>27</w:t>
              </w:r>
            </w:hyperlink>
          </w:p>
        </w:tc>
      </w:tr>
      <w:tr>
        <w:trPr/>
        <w:tc>
          <w:tcPr>
            <w:tcW w:w="884" w:type="dxa"/>
            <w:gridSpan w:val="3"/>
            <w:tcBorders/>
            <w:tcMar>
              <w:top w:w="0" w:type="dxa"/>
              <w:left w:w="0" w:type="dxa"/>
              <w:bottom w:w="0" w:type="dxa"/>
              <w:right w:w="0" w:type="dxa"/>
            </w:tcMar>
            <w:vAlign w:val="center"/>
          </w:tcPr>
          <w:p>
            <w:pPr>
              <w:pStyle w:val="TableContents"/>
              <w:bidi w:val="0"/>
              <w:spacing w:lineRule="auto" w:line="252" w:before="0" w:after="0"/>
              <w:jc w:val="left"/>
              <w:rPr/>
            </w:pPr>
            <w:hyperlink w:anchor="i7f5619487a1149c59a3dd36fee75a584_109">
              <w:r>
                <w:rPr>
                  <w:rStyle w:val="InternetLink"/>
                  <w:rFonts w:ascii="Times New Roman;serif" w:hAnsi="Times New Roman;serif"/>
                  <w:b w:val="false"/>
                  <w:strike w:val="false"/>
                  <w:dstrike w:val="false"/>
                  <w:color w:val="000000"/>
                  <w:sz w:val="20"/>
                  <w:u w:val="none"/>
                  <w:effect w:val="none"/>
                </w:rPr>
                <w:t>Item 1.</w:t>
              </w:r>
            </w:hyperlink>
          </w:p>
        </w:tc>
        <w:tc>
          <w:tcPr>
            <w:tcW w:w="8010" w:type="dxa"/>
            <w:gridSpan w:val="3"/>
            <w:tcBorders/>
            <w:tcMar>
              <w:top w:w="0" w:type="dxa"/>
              <w:left w:w="0" w:type="dxa"/>
              <w:bottom w:w="0" w:type="dxa"/>
              <w:right w:w="0" w:type="dxa"/>
            </w:tcMar>
            <w:vAlign w:val="center"/>
          </w:tcPr>
          <w:p>
            <w:pPr>
              <w:pStyle w:val="TableContents"/>
              <w:bidi w:val="0"/>
              <w:spacing w:lineRule="auto" w:line="252" w:before="0" w:after="0"/>
              <w:jc w:val="left"/>
              <w:rPr/>
            </w:pPr>
            <w:hyperlink w:anchor="i7f5619487a1149c59a3dd36fee75a584_109">
              <w:r>
                <w:rPr>
                  <w:rStyle w:val="InternetLink"/>
                  <w:rFonts w:ascii="Times New Roman;serif" w:hAnsi="Times New Roman;serif"/>
                  <w:b w:val="false"/>
                  <w:color w:val="0000FF"/>
                  <w:sz w:val="20"/>
                  <w:u w:val="single"/>
                </w:rPr>
                <w:t>Legal Proceedings</w:t>
              </w:r>
            </w:hyperlink>
          </w:p>
        </w:tc>
        <w:tc>
          <w:tcPr>
            <w:tcW w:w="511" w:type="dxa"/>
            <w:gridSpan w:val="3"/>
            <w:tcBorders/>
            <w:tcMar>
              <w:top w:w="0" w:type="dxa"/>
              <w:left w:w="0" w:type="dxa"/>
              <w:bottom w:w="0" w:type="dxa"/>
              <w:right w:w="0" w:type="dxa"/>
            </w:tcMar>
            <w:vAlign w:val="center"/>
          </w:tcPr>
          <w:p>
            <w:pPr>
              <w:pStyle w:val="TableContents"/>
              <w:bidi w:val="0"/>
              <w:spacing w:lineRule="auto" w:line="252" w:before="0" w:after="0"/>
              <w:jc w:val="right"/>
              <w:rPr/>
            </w:pPr>
            <w:hyperlink w:anchor="i7f5619487a1149c59a3dd36fee75a584_109">
              <w:r>
                <w:rPr>
                  <w:rStyle w:val="InternetLink"/>
                  <w:rFonts w:ascii="Times New Roman;serif" w:hAnsi="Times New Roman;serif"/>
                  <w:b w:val="false"/>
                  <w:strike w:val="false"/>
                  <w:dstrike w:val="false"/>
                  <w:color w:val="000000"/>
                  <w:sz w:val="20"/>
                  <w:u w:val="none"/>
                  <w:effect w:val="none"/>
                </w:rPr>
                <w:t>27</w:t>
              </w:r>
            </w:hyperlink>
          </w:p>
        </w:tc>
      </w:tr>
      <w:tr>
        <w:trPr/>
        <w:tc>
          <w:tcPr>
            <w:tcW w:w="884" w:type="dxa"/>
            <w:gridSpan w:val="3"/>
            <w:tcBorders/>
            <w:tcMar>
              <w:top w:w="0" w:type="dxa"/>
              <w:left w:w="0" w:type="dxa"/>
              <w:bottom w:w="0" w:type="dxa"/>
              <w:right w:w="0" w:type="dxa"/>
            </w:tcMar>
            <w:vAlign w:val="center"/>
          </w:tcPr>
          <w:p>
            <w:pPr>
              <w:pStyle w:val="TableContents"/>
              <w:bidi w:val="0"/>
              <w:spacing w:lineRule="auto" w:line="252" w:before="0" w:after="0"/>
              <w:jc w:val="left"/>
              <w:rPr/>
            </w:pPr>
            <w:hyperlink w:anchor="i7f5619487a1149c59a3dd36fee75a584_112">
              <w:r>
                <w:rPr>
                  <w:rStyle w:val="InternetLink"/>
                  <w:rFonts w:ascii="Times New Roman;serif" w:hAnsi="Times New Roman;serif"/>
                  <w:b w:val="false"/>
                  <w:strike w:val="false"/>
                  <w:dstrike w:val="false"/>
                  <w:color w:val="000000"/>
                  <w:sz w:val="20"/>
                  <w:u w:val="none"/>
                  <w:effect w:val="none"/>
                </w:rPr>
                <w:t>Item 1A.</w:t>
              </w:r>
            </w:hyperlink>
          </w:p>
        </w:tc>
        <w:tc>
          <w:tcPr>
            <w:tcW w:w="8010" w:type="dxa"/>
            <w:gridSpan w:val="3"/>
            <w:tcBorders/>
            <w:tcMar>
              <w:top w:w="0" w:type="dxa"/>
              <w:left w:w="0" w:type="dxa"/>
              <w:bottom w:w="0" w:type="dxa"/>
              <w:right w:w="0" w:type="dxa"/>
            </w:tcMar>
            <w:vAlign w:val="center"/>
          </w:tcPr>
          <w:p>
            <w:pPr>
              <w:pStyle w:val="TableContents"/>
              <w:bidi w:val="0"/>
              <w:spacing w:lineRule="auto" w:line="252" w:before="0" w:after="0"/>
              <w:jc w:val="left"/>
              <w:rPr/>
            </w:pPr>
            <w:hyperlink w:anchor="i7f5619487a1149c59a3dd36fee75a584_112">
              <w:r>
                <w:rPr>
                  <w:rStyle w:val="InternetLink"/>
                  <w:rFonts w:ascii="Times New Roman;serif" w:hAnsi="Times New Roman;serif"/>
                  <w:b w:val="false"/>
                  <w:color w:val="0000FF"/>
                  <w:sz w:val="20"/>
                  <w:u w:val="single"/>
                </w:rPr>
                <w:t>Risk Factors</w:t>
              </w:r>
            </w:hyperlink>
          </w:p>
        </w:tc>
        <w:tc>
          <w:tcPr>
            <w:tcW w:w="511" w:type="dxa"/>
            <w:gridSpan w:val="3"/>
            <w:tcBorders/>
            <w:tcMar>
              <w:top w:w="0" w:type="dxa"/>
              <w:left w:w="0" w:type="dxa"/>
              <w:bottom w:w="0" w:type="dxa"/>
              <w:right w:w="0" w:type="dxa"/>
            </w:tcMar>
            <w:vAlign w:val="center"/>
          </w:tcPr>
          <w:p>
            <w:pPr>
              <w:pStyle w:val="TableContents"/>
              <w:bidi w:val="0"/>
              <w:spacing w:lineRule="auto" w:line="252" w:before="0" w:after="0"/>
              <w:jc w:val="right"/>
              <w:rPr/>
            </w:pPr>
            <w:hyperlink w:anchor="i7f5619487a1149c59a3dd36fee75a584_112">
              <w:r>
                <w:rPr>
                  <w:rStyle w:val="InternetLink"/>
                  <w:rFonts w:ascii="Times New Roman;serif" w:hAnsi="Times New Roman;serif"/>
                  <w:b w:val="false"/>
                  <w:strike w:val="false"/>
                  <w:dstrike w:val="false"/>
                  <w:color w:val="000000"/>
                  <w:sz w:val="20"/>
                  <w:u w:val="none"/>
                  <w:effect w:val="none"/>
                </w:rPr>
                <w:t>27</w:t>
              </w:r>
            </w:hyperlink>
          </w:p>
        </w:tc>
      </w:tr>
      <w:tr>
        <w:trPr/>
        <w:tc>
          <w:tcPr>
            <w:tcW w:w="884" w:type="dxa"/>
            <w:gridSpan w:val="3"/>
            <w:tcBorders/>
            <w:tcMar>
              <w:top w:w="0" w:type="dxa"/>
              <w:left w:w="0" w:type="dxa"/>
              <w:bottom w:w="0" w:type="dxa"/>
              <w:right w:w="0" w:type="dxa"/>
            </w:tcMar>
            <w:vAlign w:val="center"/>
          </w:tcPr>
          <w:p>
            <w:pPr>
              <w:pStyle w:val="TableContents"/>
              <w:bidi w:val="0"/>
              <w:spacing w:lineRule="auto" w:line="252" w:before="0" w:after="0"/>
              <w:jc w:val="left"/>
              <w:rPr/>
            </w:pPr>
            <w:hyperlink w:anchor="i7f5619487a1149c59a3dd36fee75a584_115">
              <w:r>
                <w:rPr>
                  <w:rStyle w:val="InternetLink"/>
                  <w:rFonts w:ascii="Times New Roman;serif" w:hAnsi="Times New Roman;serif"/>
                  <w:b w:val="false"/>
                  <w:strike w:val="false"/>
                  <w:dstrike w:val="false"/>
                  <w:color w:val="000000"/>
                  <w:sz w:val="20"/>
                  <w:u w:val="none"/>
                  <w:effect w:val="none"/>
                </w:rPr>
                <w:t>Item 2.</w:t>
              </w:r>
            </w:hyperlink>
          </w:p>
        </w:tc>
        <w:tc>
          <w:tcPr>
            <w:tcW w:w="8010" w:type="dxa"/>
            <w:gridSpan w:val="3"/>
            <w:tcBorders/>
            <w:tcMar>
              <w:top w:w="0" w:type="dxa"/>
              <w:left w:w="0" w:type="dxa"/>
              <w:bottom w:w="0" w:type="dxa"/>
              <w:right w:w="0" w:type="dxa"/>
            </w:tcMar>
            <w:vAlign w:val="center"/>
          </w:tcPr>
          <w:p>
            <w:pPr>
              <w:pStyle w:val="TableContents"/>
              <w:bidi w:val="0"/>
              <w:spacing w:lineRule="auto" w:line="252" w:before="0" w:after="0"/>
              <w:jc w:val="left"/>
              <w:rPr/>
            </w:pPr>
            <w:hyperlink w:anchor="i7f5619487a1149c59a3dd36fee75a584_115">
              <w:r>
                <w:rPr>
                  <w:rStyle w:val="InternetLink"/>
                  <w:rFonts w:ascii="Times New Roman;serif" w:hAnsi="Times New Roman;serif"/>
                  <w:b w:val="false"/>
                  <w:color w:val="0000FF"/>
                  <w:sz w:val="20"/>
                  <w:u w:val="single"/>
                </w:rPr>
                <w:t>Unregistered Sales of Equity Securities, Use of Proceeds, and Issuer Purchases of Equity Securities</w:t>
              </w:r>
            </w:hyperlink>
          </w:p>
        </w:tc>
        <w:tc>
          <w:tcPr>
            <w:tcW w:w="511" w:type="dxa"/>
            <w:gridSpan w:val="3"/>
            <w:tcBorders/>
            <w:tcMar>
              <w:top w:w="0" w:type="dxa"/>
              <w:left w:w="0" w:type="dxa"/>
              <w:bottom w:w="0" w:type="dxa"/>
              <w:right w:w="0" w:type="dxa"/>
            </w:tcMar>
            <w:vAlign w:val="center"/>
          </w:tcPr>
          <w:p>
            <w:pPr>
              <w:pStyle w:val="TableContents"/>
              <w:bidi w:val="0"/>
              <w:spacing w:lineRule="auto" w:line="252" w:before="0" w:after="0"/>
              <w:jc w:val="right"/>
              <w:rPr/>
            </w:pPr>
            <w:hyperlink w:anchor="i7f5619487a1149c59a3dd36fee75a584_115">
              <w:r>
                <w:rPr>
                  <w:rStyle w:val="InternetLink"/>
                  <w:rFonts w:ascii="Times New Roman;serif" w:hAnsi="Times New Roman;serif"/>
                  <w:b w:val="false"/>
                  <w:strike w:val="false"/>
                  <w:dstrike w:val="false"/>
                  <w:color w:val="000000"/>
                  <w:sz w:val="20"/>
                  <w:u w:val="none"/>
                  <w:effect w:val="none"/>
                </w:rPr>
                <w:t>27</w:t>
              </w:r>
            </w:hyperlink>
          </w:p>
        </w:tc>
      </w:tr>
      <w:tr>
        <w:trPr/>
        <w:tc>
          <w:tcPr>
            <w:tcW w:w="884" w:type="dxa"/>
            <w:gridSpan w:val="3"/>
            <w:tcBorders/>
            <w:tcMar>
              <w:top w:w="0" w:type="dxa"/>
              <w:left w:w="0" w:type="dxa"/>
              <w:bottom w:w="0" w:type="dxa"/>
              <w:right w:w="0" w:type="dxa"/>
            </w:tcMar>
            <w:vAlign w:val="center"/>
          </w:tcPr>
          <w:p>
            <w:pPr>
              <w:pStyle w:val="TableContents"/>
              <w:bidi w:val="0"/>
              <w:spacing w:lineRule="auto" w:line="252" w:before="0" w:after="0"/>
              <w:jc w:val="left"/>
              <w:rPr/>
            </w:pPr>
            <w:hyperlink w:anchor="i7f5619487a1149c59a3dd36fee75a584_409">
              <w:r>
                <w:rPr>
                  <w:rStyle w:val="InternetLink"/>
                  <w:rFonts w:ascii="Times New Roman;serif" w:hAnsi="Times New Roman;serif"/>
                  <w:b w:val="false"/>
                  <w:strike w:val="false"/>
                  <w:dstrike w:val="false"/>
                  <w:color w:val="000080"/>
                  <w:sz w:val="20"/>
                  <w:u w:val="single"/>
                  <w:effect w:val="none"/>
                </w:rPr>
                <w:t>I</w:t>
              </w:r>
            </w:hyperlink>
            <w:hyperlink w:anchor="i7f5619487a1149c59a3dd36fee75a584_409">
              <w:r>
                <w:rPr>
                  <w:rStyle w:val="InternetLink"/>
                  <w:rFonts w:ascii="Times New Roman;serif" w:hAnsi="Times New Roman;serif"/>
                  <w:b w:val="false"/>
                  <w:strike w:val="false"/>
                  <w:dstrike w:val="false"/>
                  <w:color w:val="000080"/>
                  <w:sz w:val="20"/>
                  <w:u w:val="single"/>
                  <w:effect w:val="none"/>
                </w:rPr>
                <w:t>tem 5</w:t>
              </w:r>
            </w:hyperlink>
            <w:r>
              <w:rPr>
                <w:rFonts w:ascii="Times New Roman;serif" w:hAnsi="Times New Roman;serif"/>
                <w:b w:val="false"/>
                <w:color w:val="000000"/>
                <w:sz w:val="20"/>
              </w:rPr>
              <w:t>.</w:t>
            </w:r>
          </w:p>
        </w:tc>
        <w:tc>
          <w:tcPr>
            <w:tcW w:w="8010" w:type="dxa"/>
            <w:gridSpan w:val="3"/>
            <w:tcBorders/>
            <w:tcMar>
              <w:top w:w="0" w:type="dxa"/>
              <w:left w:w="0" w:type="dxa"/>
              <w:bottom w:w="0" w:type="dxa"/>
              <w:right w:w="0" w:type="dxa"/>
            </w:tcMar>
            <w:vAlign w:val="center"/>
          </w:tcPr>
          <w:p>
            <w:pPr>
              <w:pStyle w:val="TableContents"/>
              <w:bidi w:val="0"/>
              <w:spacing w:lineRule="auto" w:line="252" w:before="0" w:after="0"/>
              <w:jc w:val="left"/>
              <w:rPr/>
            </w:pPr>
            <w:hyperlink w:anchor="i7f5619487a1149c59a3dd36fee75a584_409">
              <w:r>
                <w:rPr>
                  <w:rStyle w:val="InternetLink"/>
                  <w:rFonts w:ascii="Times New Roman;serif" w:hAnsi="Times New Roman;serif"/>
                  <w:b w:val="false"/>
                  <w:color w:val="0000FF"/>
                  <w:sz w:val="20"/>
                  <w:u w:val="single"/>
                </w:rPr>
                <w:t>Other Information</w:t>
              </w:r>
            </w:hyperlink>
          </w:p>
        </w:tc>
        <w:tc>
          <w:tcPr>
            <w:tcW w:w="511" w:type="dxa"/>
            <w:gridSpan w:val="3"/>
            <w:tcBorders/>
            <w:tcMar>
              <w:top w:w="0" w:type="dxa"/>
              <w:left w:w="0" w:type="dxa"/>
              <w:bottom w:w="0" w:type="dxa"/>
              <w:right w:w="0" w:type="dxa"/>
            </w:tcMar>
            <w:vAlign w:val="center"/>
          </w:tcPr>
          <w:p>
            <w:pPr>
              <w:pStyle w:val="TableContents"/>
              <w:bidi w:val="0"/>
              <w:spacing w:lineRule="auto" w:line="252" w:before="0" w:after="0"/>
              <w:jc w:val="right"/>
              <w:rPr/>
            </w:pPr>
            <w:hyperlink w:anchor="i7f5619487a1149c59a3dd36fee75a584_409">
              <w:r>
                <w:rPr>
                  <w:rStyle w:val="InternetLink"/>
                  <w:rFonts w:ascii="Times New Roman;serif" w:hAnsi="Times New Roman;serif"/>
                  <w:b w:val="false"/>
                  <w:strike w:val="false"/>
                  <w:dstrike w:val="false"/>
                  <w:color w:val="000000"/>
                  <w:sz w:val="20"/>
                  <w:u w:val="none"/>
                  <w:effect w:val="none"/>
                </w:rPr>
                <w:t>27</w:t>
              </w:r>
            </w:hyperlink>
          </w:p>
        </w:tc>
      </w:tr>
      <w:tr>
        <w:trPr/>
        <w:tc>
          <w:tcPr>
            <w:tcW w:w="884" w:type="dxa"/>
            <w:gridSpan w:val="3"/>
            <w:tcBorders/>
            <w:tcMar>
              <w:top w:w="0" w:type="dxa"/>
              <w:left w:w="0" w:type="dxa"/>
              <w:bottom w:w="0" w:type="dxa"/>
              <w:right w:w="0" w:type="dxa"/>
            </w:tcMar>
            <w:vAlign w:val="center"/>
          </w:tcPr>
          <w:p>
            <w:pPr>
              <w:pStyle w:val="TableContents"/>
              <w:bidi w:val="0"/>
              <w:spacing w:lineRule="auto" w:line="252" w:before="0" w:after="0"/>
              <w:jc w:val="left"/>
              <w:rPr/>
            </w:pPr>
            <w:hyperlink w:anchor="i7f5619487a1149c59a3dd36fee75a584_121">
              <w:r>
                <w:rPr>
                  <w:rStyle w:val="InternetLink"/>
                  <w:rFonts w:ascii="Times New Roman;serif" w:hAnsi="Times New Roman;serif"/>
                  <w:b w:val="false"/>
                  <w:strike w:val="false"/>
                  <w:dstrike w:val="false"/>
                  <w:color w:val="000000"/>
                  <w:sz w:val="20"/>
                  <w:u w:val="none"/>
                  <w:effect w:val="none"/>
                </w:rPr>
                <w:t>Item 6.</w:t>
              </w:r>
            </w:hyperlink>
          </w:p>
        </w:tc>
        <w:tc>
          <w:tcPr>
            <w:tcW w:w="8010" w:type="dxa"/>
            <w:gridSpan w:val="3"/>
            <w:tcBorders/>
            <w:tcMar>
              <w:top w:w="0" w:type="dxa"/>
              <w:left w:w="0" w:type="dxa"/>
              <w:bottom w:w="0" w:type="dxa"/>
              <w:right w:w="0" w:type="dxa"/>
            </w:tcMar>
            <w:vAlign w:val="center"/>
          </w:tcPr>
          <w:p>
            <w:pPr>
              <w:pStyle w:val="TableContents"/>
              <w:bidi w:val="0"/>
              <w:spacing w:lineRule="auto" w:line="252" w:before="0" w:after="0"/>
              <w:jc w:val="left"/>
              <w:rPr/>
            </w:pPr>
            <w:hyperlink w:anchor="i7f5619487a1149c59a3dd36fee75a584_121">
              <w:r>
                <w:rPr>
                  <w:rStyle w:val="InternetLink"/>
                  <w:rFonts w:ascii="Times New Roman;serif" w:hAnsi="Times New Roman;serif"/>
                  <w:b w:val="false"/>
                  <w:color w:val="0000FF"/>
                  <w:sz w:val="20"/>
                  <w:u w:val="single"/>
                </w:rPr>
                <w:t>Exhibits</w:t>
              </w:r>
            </w:hyperlink>
          </w:p>
        </w:tc>
        <w:tc>
          <w:tcPr>
            <w:tcW w:w="511" w:type="dxa"/>
            <w:gridSpan w:val="3"/>
            <w:tcBorders/>
            <w:tcMar>
              <w:top w:w="0" w:type="dxa"/>
              <w:left w:w="0" w:type="dxa"/>
              <w:bottom w:w="0" w:type="dxa"/>
              <w:right w:w="0" w:type="dxa"/>
            </w:tcMar>
            <w:vAlign w:val="center"/>
          </w:tcPr>
          <w:p>
            <w:pPr>
              <w:pStyle w:val="TableContents"/>
              <w:bidi w:val="0"/>
              <w:spacing w:lineRule="auto" w:line="252" w:before="0" w:after="0"/>
              <w:jc w:val="right"/>
              <w:rPr/>
            </w:pPr>
            <w:hyperlink w:anchor="i7f5619487a1149c59a3dd36fee75a584_121">
              <w:r>
                <w:rPr>
                  <w:rStyle w:val="InternetLink"/>
                  <w:rFonts w:ascii="Times New Roman;serif" w:hAnsi="Times New Roman;serif"/>
                  <w:b w:val="false"/>
                  <w:strike w:val="false"/>
                  <w:dstrike w:val="false"/>
                  <w:color w:val="000000"/>
                  <w:sz w:val="20"/>
                  <w:u w:val="none"/>
                  <w:effect w:val="none"/>
                </w:rPr>
                <w:t>28</w:t>
              </w:r>
            </w:hyperlink>
          </w:p>
        </w:tc>
      </w:tr>
      <w:tr>
        <w:trPr/>
        <w:tc>
          <w:tcPr>
            <w:tcW w:w="8894" w:type="dxa"/>
            <w:gridSpan w:val="6"/>
            <w:tcBorders/>
            <w:tcMar>
              <w:top w:w="0" w:type="dxa"/>
              <w:left w:w="0" w:type="dxa"/>
              <w:bottom w:w="0" w:type="dxa"/>
              <w:right w:w="0" w:type="dxa"/>
            </w:tcMar>
            <w:vAlign w:val="center"/>
          </w:tcPr>
          <w:p>
            <w:pPr>
              <w:pStyle w:val="TableContents"/>
              <w:bidi w:val="0"/>
              <w:spacing w:lineRule="auto" w:line="252" w:before="0" w:after="0"/>
              <w:jc w:val="left"/>
              <w:rPr/>
            </w:pPr>
            <w:hyperlink w:anchor="i7f5619487a1149c59a3dd36fee75a584_124">
              <w:r>
                <w:rPr>
                  <w:rStyle w:val="InternetLink"/>
                  <w:rFonts w:ascii="Times New Roman;serif" w:hAnsi="Times New Roman;serif"/>
                  <w:b w:val="false"/>
                  <w:color w:val="0000FF"/>
                  <w:sz w:val="20"/>
                  <w:u w:val="single"/>
                </w:rPr>
                <w:t>Signatures</w:t>
              </w:r>
            </w:hyperlink>
          </w:p>
        </w:tc>
        <w:tc>
          <w:tcPr>
            <w:tcW w:w="511" w:type="dxa"/>
            <w:gridSpan w:val="3"/>
            <w:tcBorders/>
            <w:tcMar>
              <w:top w:w="0" w:type="dxa"/>
              <w:left w:w="0" w:type="dxa"/>
              <w:bottom w:w="0" w:type="dxa"/>
              <w:right w:w="0" w:type="dxa"/>
            </w:tcMar>
            <w:vAlign w:val="center"/>
          </w:tcPr>
          <w:p>
            <w:pPr>
              <w:pStyle w:val="TableContents"/>
              <w:bidi w:val="0"/>
              <w:spacing w:lineRule="auto" w:line="252" w:before="0" w:after="0"/>
              <w:jc w:val="right"/>
              <w:rPr/>
            </w:pPr>
            <w:hyperlink w:anchor="i7f5619487a1149c59a3dd36fee75a584_124">
              <w:r>
                <w:rPr>
                  <w:rStyle w:val="InternetLink"/>
                  <w:rFonts w:ascii="Times New Roman;serif" w:hAnsi="Times New Roman;serif"/>
                  <w:b w:val="false"/>
                  <w:strike w:val="false"/>
                  <w:dstrike w:val="false"/>
                  <w:color w:val="000000"/>
                  <w:sz w:val="20"/>
                  <w:u w:val="none"/>
                  <w:effect w:val="none"/>
                </w:rPr>
                <w:t>29</w:t>
              </w:r>
            </w:hyperlink>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6480175" cy="146685"/>
                <wp:effectExtent l="0" t="0" r="0" b="0"/>
                <wp:wrapNone/>
                <wp:docPr id="2" name="Frame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i</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i</w:t>
                      </w:r>
                    </w:p>
                  </w:txbxContent>
                </v:textbox>
                <w10:wrap type="none"/>
              </v:rect>
            </w:pict>
          </mc:Fallback>
        </mc:AlternateContent>
      </w:r>
    </w:p>
    <w:p>
      <w:pPr>
        <w:pStyle w:val="TextBody"/>
        <w:bidi w:val="0"/>
        <w:spacing w:lineRule="auto" w:line="288" w:before="0" w:after="0"/>
        <w:jc w:val="left"/>
        <w:rPr/>
      </w:pPr>
      <w:hyperlink w:anchor="i7f5619487a1149c59a3dd36fee75a584_7">
        <w:r>
          <w:rPr>
            <w:rStyle w:val="InternetLink"/>
            <w:rFonts w:ascii="Times New Roman;serif" w:hAnsi="Times New Roman;serif"/>
            <w:b w:val="false"/>
            <w:color w:val="0000FF"/>
            <w:sz w:val="20"/>
            <w:u w:val="single"/>
          </w:rPr>
          <w:t>Table of Contents</w:t>
        </w:r>
      </w:hyperlink>
    </w:p>
    <w:p>
      <w:pPr>
        <w:pStyle w:val="TextBody"/>
        <w:bidi w:val="0"/>
        <w:spacing w:lineRule="auto" w:line="288" w:before="200" w:after="283"/>
        <w:jc w:val="center"/>
        <w:rPr>
          <w:rFonts w:ascii="Times New Roman;serif" w:hAnsi="Times New Roman;serif"/>
          <w:b/>
          <w:color w:val="000000"/>
          <w:sz w:val="20"/>
        </w:rPr>
      </w:pPr>
      <w:r>
        <w:rPr>
          <w:rFonts w:ascii="Times New Roman;serif" w:hAnsi="Times New Roman;serif"/>
          <w:b/>
          <w:color w:val="000000"/>
          <w:sz w:val="20"/>
        </w:rPr>
        <w:t>PART I—FINANCIAL INFORMATION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83"/>
        <w:jc w:val="left"/>
        <w:rPr>
          <w:rFonts w:ascii="Times New Roman;serif" w:hAnsi="Times New Roman;serif"/>
          <w:b/>
          <w:color w:val="000000"/>
          <w:sz w:val="20"/>
        </w:rPr>
      </w:pPr>
      <w:r>
        <w:rPr>
          <w:rFonts w:ascii="Times New Roman;serif" w:hAnsi="Times New Roman;serif"/>
          <w:b/>
          <w:color w:val="000000"/>
          <w:sz w:val="20"/>
        </w:rPr>
        <w:t>Item 1.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83"/>
        <w:ind w:left="0" w:right="0" w:firstLine="720"/>
        <w:jc w:val="center"/>
        <w:rPr>
          <w:rFonts w:ascii="Times New Roman;serif" w:hAnsi="Times New Roman;serif"/>
          <w:b/>
          <w:color w:val="000000"/>
          <w:sz w:val="20"/>
        </w:rPr>
      </w:pPr>
      <w:r>
        <w:rPr>
          <w:rFonts w:ascii="Times New Roman;serif" w:hAnsi="Times New Roman;serif"/>
          <w:b/>
          <w:color w:val="000000"/>
          <w:sz w:val="20"/>
        </w:rPr>
        <w:t>CARIBOU BIOSCIENCES, INC. AND ITS SUBSIDIARIES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Condensed Consolidated Balance Sheets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(Unaudited)</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(in thousands, except share and per share amounts)</w:t>
      </w:r>
    </w:p>
    <w:tbl>
      <w:tblPr>
        <w:tblW w:w="10205" w:type="dxa"/>
        <w:jc w:val="left"/>
        <w:tblInd w:w="0" w:type="dxa"/>
        <w:tblLayout w:type="fixed"/>
        <w:tblCellMar>
          <w:top w:w="28" w:type="dxa"/>
          <w:left w:w="28" w:type="dxa"/>
          <w:bottom w:w="28" w:type="dxa"/>
          <w:right w:w="28" w:type="dxa"/>
        </w:tblCellMar>
      </w:tblPr>
      <w:tblGrid>
        <w:gridCol w:w="3056"/>
        <w:gridCol w:w="2236"/>
        <w:gridCol w:w="2248"/>
        <w:gridCol w:w="211"/>
        <w:gridCol w:w="826"/>
        <w:gridCol w:w="109"/>
        <w:gridCol w:w="109"/>
        <w:gridCol w:w="109"/>
        <w:gridCol w:w="109"/>
        <w:gridCol w:w="211"/>
        <w:gridCol w:w="826"/>
        <w:gridCol w:w="155"/>
      </w:tblGrid>
      <w:tr>
        <w:trPr/>
        <w:tc>
          <w:tcPr>
            <w:tcW w:w="3056" w:type="dxa"/>
            <w:tcBorders/>
            <w:vAlign w:val="center"/>
          </w:tcPr>
          <w:p>
            <w:pPr>
              <w:pStyle w:val="TableContents"/>
              <w:bidi w:val="0"/>
              <w:spacing w:before="0" w:after="283"/>
              <w:jc w:val="left"/>
              <w:rPr>
                <w:sz w:val="4"/>
                <w:szCs w:val="4"/>
              </w:rPr>
            </w:pPr>
            <w:r>
              <w:rPr>
                <w:sz w:val="4"/>
                <w:szCs w:val="4"/>
              </w:rPr>
            </w:r>
          </w:p>
        </w:tc>
        <w:tc>
          <w:tcPr>
            <w:tcW w:w="2236" w:type="dxa"/>
            <w:tcBorders/>
            <w:vAlign w:val="center"/>
          </w:tcPr>
          <w:p>
            <w:pPr>
              <w:pStyle w:val="TableContents"/>
              <w:bidi w:val="0"/>
              <w:spacing w:before="0" w:after="283"/>
              <w:jc w:val="left"/>
              <w:rPr>
                <w:sz w:val="4"/>
                <w:szCs w:val="4"/>
              </w:rPr>
            </w:pPr>
            <w:r>
              <w:rPr>
                <w:sz w:val="4"/>
                <w:szCs w:val="4"/>
              </w:rPr>
            </w:r>
          </w:p>
        </w:tc>
        <w:tc>
          <w:tcPr>
            <w:tcW w:w="2248"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75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lineRule="auto" w:line="252" w:before="0" w:after="283"/>
              <w:jc w:val="center"/>
              <w:rPr>
                <w:rFonts w:ascii="Times New Roman;serif" w:hAnsi="Times New Roman;serif"/>
                <w:b/>
                <w:color w:val="000000"/>
                <w:sz w:val="16"/>
              </w:rPr>
            </w:pPr>
            <w:r>
              <w:rPr>
                <w:rFonts w:ascii="Times New Roman;serif" w:hAnsi="Times New Roman;serif"/>
                <w:b/>
                <w:color w:val="000000"/>
                <w:sz w:val="16"/>
              </w:rPr>
              <w:t>March 31,</w:t>
              <w:b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3"/>
            <w:tcBorders/>
            <w:tcMar>
              <w:top w:w="0" w:type="dxa"/>
              <w:left w:w="0" w:type="dxa"/>
              <w:bottom w:w="0" w:type="dxa"/>
              <w:right w:w="0" w:type="dxa"/>
            </w:tcMar>
            <w:vAlign w:val="center"/>
          </w:tcPr>
          <w:p>
            <w:pPr>
              <w:pStyle w:val="TableContents"/>
              <w:bidi w:val="0"/>
              <w:spacing w:lineRule="auto" w:line="252" w:before="0" w:after="283"/>
              <w:jc w:val="center"/>
              <w:rPr>
                <w:rFonts w:ascii="Times New Roman;serif" w:hAnsi="Times New Roman;serif"/>
                <w:b/>
                <w:color w:val="000000"/>
                <w:sz w:val="16"/>
              </w:rPr>
            </w:pPr>
            <w:r>
              <w:rPr>
                <w:rFonts w:ascii="Times New Roman;serif" w:hAnsi="Times New Roman;serif"/>
                <w:b/>
                <w:color w:val="000000"/>
                <w:sz w:val="16"/>
              </w:rPr>
              <w:t>December 31,</w:t>
              <w:br/>
              <w:t>2025</w:t>
            </w:r>
          </w:p>
        </w:tc>
      </w:tr>
      <w:tr>
        <w:trPr/>
        <w:tc>
          <w:tcPr>
            <w:tcW w:w="7540" w:type="dxa"/>
            <w:gridSpan w:val="3"/>
            <w:tcBorders/>
            <w:shd w:fill="CCEEFF" w:val="clear"/>
            <w:tcMar>
              <w:top w:w="0" w:type="dxa"/>
              <w:left w:w="0" w:type="dxa"/>
              <w:bottom w:w="0" w:type="dxa"/>
              <w:right w:w="0" w:type="dxa"/>
            </w:tcMar>
            <w:vAlign w:val="center"/>
          </w:tcPr>
          <w:p>
            <w:pPr>
              <w:pStyle w:val="TableContents"/>
              <w:bidi w:val="0"/>
              <w:spacing w:lineRule="auto" w:line="252" w:before="0" w:after="283"/>
              <w:jc w:val="left"/>
              <w:rPr>
                <w:rFonts w:ascii="Times New Roman;serif" w:hAnsi="Times New Roman;serif"/>
                <w:b/>
                <w:color w:val="000000"/>
                <w:sz w:val="20"/>
              </w:rPr>
            </w:pPr>
            <w:r>
              <w:rPr>
                <w:rFonts w:ascii="Times New Roman;serif" w:hAnsi="Times New Roman;serif"/>
                <w:b/>
                <w:color w:val="000000"/>
                <w:sz w:val="20"/>
              </w:rPr>
              <w:t>ASSETS</w:t>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40" w:type="dxa"/>
            <w:gridSpan w:val="3"/>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serif" w:hAnsi="Times New Roman;serif"/>
                <w:b w:val="false"/>
                <w:color w:val="000000"/>
                <w:sz w:val="20"/>
              </w:rPr>
            </w:pPr>
            <w:r>
              <w:rPr>
                <w:rFonts w:ascii="Times New Roman;serif" w:hAnsi="Times New Roman;serif"/>
                <w:b w:val="false"/>
                <w:color w:val="000000"/>
                <w:sz w:val="20"/>
              </w:rPr>
              <w:t>CURRENT ASSETS</w:t>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40" w:type="dxa"/>
            <w:gridSpan w:val="3"/>
            <w:tcBorders/>
            <w:shd w:fill="CCEEFF" w:val="clear"/>
            <w:tcMar>
              <w:top w:w="0" w:type="dxa"/>
              <w:left w:w="0" w:type="dxa"/>
              <w:bottom w:w="0" w:type="dxa"/>
              <w:right w:w="0" w:type="dxa"/>
            </w:tcMar>
            <w:vAlign w:val="center"/>
          </w:tcPr>
          <w:p>
            <w:pPr>
              <w:pStyle w:val="TableContents"/>
              <w:bidi w:val="0"/>
              <w:spacing w:lineRule="auto" w:line="252" w:before="0" w:after="283"/>
              <w:jc w:val="left"/>
              <w:rPr>
                <w:rFonts w:ascii="Times New Roman;serif" w:hAnsi="Times New Roman;serif"/>
                <w:b w:val="false"/>
                <w:color w:val="000000"/>
                <w:sz w:val="20"/>
              </w:rPr>
            </w:pPr>
            <w:r>
              <w:rPr>
                <w:rFonts w:ascii="Times New Roman;serif" w:hAnsi="Times New Roman;serif"/>
                <w:b w:val="false"/>
                <w:color w:val="000000"/>
                <w:sz w:val="20"/>
              </w:rPr>
              <w:t>Cash and cash equivalents</w:t>
            </w:r>
          </w:p>
        </w:tc>
        <w:tc>
          <w:tcPr>
            <w:tcW w:w="211" w:type="dxa"/>
            <w:tcBorders/>
            <w:shd w:fill="CCEEFF" w:val="clear"/>
            <w:tcMar>
              <w:top w:w="0" w:type="dxa"/>
              <w:left w:w="0" w:type="dxa"/>
              <w:bottom w:w="0" w:type="dxa"/>
              <w:right w:w="0" w:type="dxa"/>
            </w:tcMar>
            <w:vAlign w:val="center"/>
          </w:tcPr>
          <w:p>
            <w:pPr>
              <w:pStyle w:val="TableContents"/>
              <w:bidi w:val="0"/>
              <w:spacing w:lineRule="auto" w:line="252"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52" w:before="0" w:after="283"/>
              <w:jc w:val="right"/>
              <w:rPr>
                <w:rFonts w:ascii="Times New Roman;serif" w:hAnsi="Times New Roman;serif"/>
                <w:b w:val="false"/>
                <w:color w:val="000000"/>
                <w:sz w:val="20"/>
              </w:rPr>
            </w:pPr>
            <w:r>
              <w:rPr>
                <w:rFonts w:ascii="Times New Roman;serif" w:hAnsi="Times New Roman;serif"/>
                <w:b w:val="false"/>
                <w:color w:val="000000"/>
                <w:sz w:val="20"/>
              </w:rPr>
              <w:t>12,057 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52"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52" w:before="0" w:after="283"/>
              <w:jc w:val="right"/>
              <w:rPr>
                <w:rFonts w:ascii="Times New Roman;serif" w:hAnsi="Times New Roman;serif"/>
                <w:b w:val="false"/>
                <w:color w:val="000000"/>
                <w:sz w:val="20"/>
              </w:rPr>
            </w:pPr>
            <w:r>
              <w:rPr>
                <w:rFonts w:ascii="Times New Roman;serif" w:hAnsi="Times New Roman;serif"/>
                <w:b w:val="false"/>
                <w:color w:val="000000"/>
                <w:sz w:val="20"/>
              </w:rPr>
              <w:t>12,360 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40" w:type="dxa"/>
            <w:gridSpan w:val="3"/>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serif" w:hAnsi="Times New Roman;serif"/>
                <w:b w:val="false"/>
                <w:color w:val="000000"/>
                <w:sz w:val="20"/>
              </w:rPr>
            </w:pPr>
            <w:r>
              <w:rPr>
                <w:rFonts w:ascii="Times New Roman;serif" w:hAnsi="Times New Roman;serif"/>
                <w:b w:val="false"/>
                <w:color w:val="000000"/>
                <w:sz w:val="20"/>
              </w:rPr>
              <w:t>Marketable securities, short-term</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serif" w:hAnsi="Times New Roman;serif"/>
                <w:b w:val="false"/>
                <w:color w:val="000000"/>
                <w:sz w:val="20"/>
              </w:rPr>
            </w:pPr>
            <w:r>
              <w:rPr>
                <w:rFonts w:ascii="Times New Roman;serif" w:hAnsi="Times New Roman;serif"/>
                <w:b w:val="false"/>
                <w:color w:val="000000"/>
                <w:sz w:val="20"/>
              </w:rPr>
              <w:t>105,569 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serif" w:hAnsi="Times New Roman;serif"/>
                <w:b w:val="false"/>
                <w:color w:val="000000"/>
                <w:sz w:val="20"/>
              </w:rPr>
            </w:pPr>
            <w:r>
              <w:rPr>
                <w:rFonts w:ascii="Times New Roman;serif" w:hAnsi="Times New Roman;serif"/>
                <w:b w:val="false"/>
                <w:color w:val="000000"/>
                <w:sz w:val="20"/>
              </w:rPr>
              <w:t>126,980 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40" w:type="dxa"/>
            <w:gridSpan w:val="3"/>
            <w:tcBorders/>
            <w:shd w:fill="CCEEFF" w:val="clear"/>
            <w:tcMar>
              <w:top w:w="0" w:type="dxa"/>
              <w:left w:w="0" w:type="dxa"/>
              <w:bottom w:w="0" w:type="dxa"/>
              <w:right w:w="0" w:type="dxa"/>
            </w:tcMar>
            <w:vAlign w:val="center"/>
          </w:tcPr>
          <w:p>
            <w:pPr>
              <w:pStyle w:val="TableContents"/>
              <w:bidi w:val="0"/>
              <w:spacing w:lineRule="auto" w:line="252" w:before="0" w:after="283"/>
              <w:jc w:val="left"/>
              <w:rPr>
                <w:rFonts w:ascii="Times New Roman;serif" w:hAnsi="Times New Roman;serif"/>
                <w:b w:val="false"/>
                <w:color w:val="000000"/>
                <w:sz w:val="20"/>
              </w:rPr>
            </w:pPr>
            <w:r>
              <w:rPr>
                <w:rFonts w:ascii="Times New Roman;serif" w:hAnsi="Times New Roman;serif"/>
                <w:b w:val="false"/>
                <w:color w:val="000000"/>
                <w:sz w:val="20"/>
              </w:rPr>
              <w:t>Accounts receivable</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52" w:before="0" w:after="283"/>
              <w:jc w:val="right"/>
              <w:rPr>
                <w:rFonts w:ascii="Times New Roman;serif" w:hAnsi="Times New Roman;serif"/>
                <w:b w:val="false"/>
                <w:color w:val="000000"/>
                <w:sz w:val="20"/>
              </w:rPr>
            </w:pPr>
            <w:r>
              <w:rPr>
                <w:rFonts w:ascii="Times New Roman;serif" w:hAnsi="Times New Roman;serif"/>
                <w:b w:val="false"/>
                <w:color w:val="000000"/>
                <w:sz w:val="20"/>
              </w:rPr>
              <w:t>227 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52" w:before="0" w:after="283"/>
              <w:jc w:val="right"/>
              <w:rPr>
                <w:rFonts w:ascii="Times New Roman;serif" w:hAnsi="Times New Roman;serif"/>
                <w:b w:val="false"/>
                <w:color w:val="000000"/>
                <w:sz w:val="20"/>
              </w:rPr>
            </w:pPr>
            <w:r>
              <w:rPr>
                <w:rFonts w:ascii="Times New Roman;serif" w:hAnsi="Times New Roman;serif"/>
                <w:b w:val="false"/>
                <w:color w:val="000000"/>
                <w:sz w:val="20"/>
              </w:rPr>
              <w:t>69 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40" w:type="dxa"/>
            <w:gridSpan w:val="3"/>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serif" w:hAnsi="Times New Roman;serif"/>
                <w:b w:val="false"/>
                <w:color w:val="000000"/>
                <w:sz w:val="20"/>
              </w:rPr>
            </w:pPr>
            <w:r>
              <w:rPr>
                <w:rFonts w:ascii="Times New Roman;serif" w:hAnsi="Times New Roman;serif"/>
                <w:b w:val="false"/>
                <w:color w:val="000000"/>
                <w:sz w:val="20"/>
              </w:rPr>
              <w:t>Contract assets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serif" w:hAnsi="Times New Roman;serif"/>
                <w:b w:val="false"/>
                <w:color w:val="000000"/>
                <w:sz w:val="20"/>
              </w:rPr>
            </w:pPr>
            <w:r>
              <w:rPr>
                <w:rFonts w:ascii="Times New Roman;serif" w:hAnsi="Times New Roman;serif"/>
                <w:b w:val="false"/>
                <w:color w:val="000000"/>
                <w:sz w:val="20"/>
              </w:rPr>
              <w:t>691 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serif" w:hAnsi="Times New Roman;serif"/>
                <w:b w:val="false"/>
                <w:color w:val="000000"/>
                <w:sz w:val="20"/>
              </w:rPr>
            </w:pPr>
            <w:r>
              <w:rPr>
                <w:rFonts w:ascii="Times New Roman;serif" w:hAnsi="Times New Roman;serif"/>
                <w:b w:val="false"/>
                <w:color w:val="000000"/>
                <w:sz w:val="20"/>
              </w:rPr>
              <w:t>1,006 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40" w:type="dxa"/>
            <w:gridSpan w:val="3"/>
            <w:tcBorders/>
            <w:shd w:fill="CCEEFF" w:val="clear"/>
            <w:tcMar>
              <w:top w:w="0" w:type="dxa"/>
              <w:left w:w="0" w:type="dxa"/>
              <w:bottom w:w="0" w:type="dxa"/>
              <w:right w:w="0" w:type="dxa"/>
            </w:tcMar>
            <w:vAlign w:val="center"/>
          </w:tcPr>
          <w:p>
            <w:pPr>
              <w:pStyle w:val="TableContents"/>
              <w:bidi w:val="0"/>
              <w:spacing w:lineRule="auto" w:line="252" w:before="0" w:after="283"/>
              <w:jc w:val="left"/>
              <w:rPr>
                <w:rFonts w:ascii="Times New Roman;serif" w:hAnsi="Times New Roman;serif"/>
                <w:b w:val="false"/>
                <w:color w:val="000000"/>
                <w:sz w:val="20"/>
              </w:rPr>
            </w:pPr>
            <w:r>
              <w:rPr>
                <w:rFonts w:ascii="Times New Roman;serif" w:hAnsi="Times New Roman;serif"/>
                <w:b w:val="false"/>
                <w:color w:val="000000"/>
                <w:sz w:val="20"/>
              </w:rPr>
              <w:t>Other receivables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52" w:before="0" w:after="283"/>
              <w:jc w:val="right"/>
              <w:rPr>
                <w:rFonts w:ascii="Times New Roman;serif" w:hAnsi="Times New Roman;serif"/>
                <w:b w:val="false"/>
                <w:color w:val="000000"/>
                <w:sz w:val="20"/>
              </w:rPr>
            </w:pPr>
            <w:r>
              <w:rPr>
                <w:rFonts w:ascii="Times New Roman;serif" w:hAnsi="Times New Roman;serif"/>
                <w:b w:val="false"/>
                <w:color w:val="000000"/>
                <w:sz w:val="20"/>
              </w:rPr>
              <w:t>1,445 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52" w:before="0" w:after="283"/>
              <w:jc w:val="right"/>
              <w:rPr>
                <w:rFonts w:ascii="Times New Roman;serif" w:hAnsi="Times New Roman;serif"/>
                <w:b w:val="false"/>
                <w:color w:val="000000"/>
                <w:sz w:val="20"/>
              </w:rPr>
            </w:pPr>
            <w:r>
              <w:rPr>
                <w:rFonts w:ascii="Times New Roman;serif" w:hAnsi="Times New Roman;serif"/>
                <w:b w:val="false"/>
                <w:color w:val="000000"/>
                <w:sz w:val="20"/>
              </w:rPr>
              <w:t>1,904 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40" w:type="dxa"/>
            <w:gridSpan w:val="3"/>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serif" w:hAnsi="Times New Roman;serif"/>
                <w:b w:val="false"/>
                <w:color w:val="000000"/>
                <w:sz w:val="20"/>
              </w:rPr>
            </w:pPr>
            <w:r>
              <w:rPr>
                <w:rFonts w:ascii="Times New Roman;serif" w:hAnsi="Times New Roman;serif"/>
                <w:b w:val="false"/>
                <w:color w:val="000000"/>
                <w:sz w:val="20"/>
              </w:rPr>
              <w:t>Prepaid expenses and other current assets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serif" w:hAnsi="Times New Roman;serif"/>
                <w:b w:val="false"/>
                <w:color w:val="000000"/>
                <w:sz w:val="20"/>
              </w:rPr>
            </w:pPr>
            <w:r>
              <w:rPr>
                <w:rFonts w:ascii="Times New Roman;serif" w:hAnsi="Times New Roman;serif"/>
                <w:b w:val="false"/>
                <w:color w:val="000000"/>
                <w:sz w:val="20"/>
              </w:rPr>
              <w:t>2,392 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serif" w:hAnsi="Times New Roman;serif"/>
                <w:b w:val="false"/>
                <w:color w:val="000000"/>
                <w:sz w:val="20"/>
              </w:rPr>
            </w:pPr>
            <w:r>
              <w:rPr>
                <w:rFonts w:ascii="Times New Roman;serif" w:hAnsi="Times New Roman;serif"/>
                <w:b w:val="false"/>
                <w:color w:val="000000"/>
                <w:sz w:val="20"/>
              </w:rPr>
              <w:t>2,913 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40" w:type="dxa"/>
            <w:gridSpan w:val="3"/>
            <w:tcBorders/>
            <w:shd w:fill="CCEEFF" w:val="clear"/>
            <w:tcMar>
              <w:top w:w="0" w:type="dxa"/>
              <w:left w:w="0" w:type="dxa"/>
              <w:bottom w:w="0" w:type="dxa"/>
              <w:right w:w="0" w:type="dxa"/>
            </w:tcMar>
            <w:vAlign w:val="center"/>
          </w:tcPr>
          <w:p>
            <w:pPr>
              <w:pStyle w:val="TableContents"/>
              <w:bidi w:val="0"/>
              <w:spacing w:lineRule="auto" w:line="252" w:before="0" w:after="283"/>
              <w:jc w:val="left"/>
              <w:rPr>
                <w:rFonts w:ascii="Times New Roman;serif" w:hAnsi="Times New Roman;serif"/>
                <w:b w:val="false"/>
                <w:color w:val="000000"/>
                <w:sz w:val="20"/>
              </w:rPr>
            </w:pPr>
            <w:r>
              <w:rPr>
                <w:rFonts w:ascii="Times New Roman;serif" w:hAnsi="Times New Roman;serif"/>
                <w:b w:val="false"/>
                <w:color w:val="000000"/>
                <w:sz w:val="20"/>
              </w:rPr>
              <w:t>Total current assets</w:t>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52" w:before="0" w:after="283"/>
              <w:jc w:val="right"/>
              <w:rPr>
                <w:rFonts w:ascii="Times New Roman;serif" w:hAnsi="Times New Roman;serif"/>
                <w:b w:val="false"/>
                <w:color w:val="000000"/>
                <w:sz w:val="20"/>
              </w:rPr>
            </w:pPr>
            <w:r>
              <w:rPr>
                <w:rFonts w:ascii="Times New Roman;serif" w:hAnsi="Times New Roman;serif"/>
                <w:b w:val="false"/>
                <w:color w:val="000000"/>
                <w:sz w:val="20"/>
              </w:rPr>
              <w:t>122,381 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52" w:before="0" w:after="283"/>
              <w:jc w:val="right"/>
              <w:rPr>
                <w:rFonts w:ascii="Times New Roman;serif" w:hAnsi="Times New Roman;serif"/>
                <w:b w:val="false"/>
                <w:color w:val="000000"/>
                <w:sz w:val="20"/>
              </w:rPr>
            </w:pPr>
            <w:r>
              <w:rPr>
                <w:rFonts w:ascii="Times New Roman;serif" w:hAnsi="Times New Roman;serif"/>
                <w:b w:val="false"/>
                <w:color w:val="000000"/>
                <w:sz w:val="20"/>
              </w:rPr>
              <w:t>145,232 </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40" w:type="dxa"/>
            <w:gridSpan w:val="3"/>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serif" w:hAnsi="Times New Roman;serif"/>
                <w:b w:val="false"/>
                <w:color w:val="000000"/>
                <w:sz w:val="20"/>
              </w:rPr>
            </w:pPr>
            <w:r>
              <w:rPr>
                <w:rFonts w:ascii="Times New Roman;serif" w:hAnsi="Times New Roman;serif"/>
                <w:b w:val="false"/>
                <w:color w:val="000000"/>
                <w:sz w:val="20"/>
              </w:rPr>
              <w:t>NON-CURRENT ASSETS</w:t>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40" w:type="dxa"/>
            <w:gridSpan w:val="3"/>
            <w:tcBorders/>
            <w:shd w:fill="CCEEFF" w:val="clear"/>
            <w:tcMar>
              <w:top w:w="0" w:type="dxa"/>
              <w:left w:w="0" w:type="dxa"/>
              <w:bottom w:w="0" w:type="dxa"/>
              <w:right w:w="0" w:type="dxa"/>
            </w:tcMar>
            <w:vAlign w:val="center"/>
          </w:tcPr>
          <w:p>
            <w:pPr>
              <w:pStyle w:val="TableContents"/>
              <w:bidi w:val="0"/>
              <w:spacing w:lineRule="auto" w:line="252" w:before="0" w:after="283"/>
              <w:jc w:val="left"/>
              <w:rPr>
                <w:rFonts w:ascii="Times New Roman;serif" w:hAnsi="Times New Roman;serif"/>
                <w:b w:val="false"/>
                <w:color w:val="000000"/>
                <w:sz w:val="20"/>
              </w:rPr>
            </w:pPr>
            <w:r>
              <w:rPr>
                <w:rFonts w:ascii="Times New Roman;serif" w:hAnsi="Times New Roman;serif"/>
                <w:b w:val="false"/>
                <w:color w:val="000000"/>
                <w:sz w:val="20"/>
              </w:rPr>
              <w:t>Marketable securities, long-term</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52" w:before="0" w:after="283"/>
              <w:jc w:val="right"/>
              <w:rPr>
                <w:rFonts w:ascii="Times New Roman;serif" w:hAnsi="Times New Roman;serif"/>
                <w:b w:val="false"/>
                <w:color w:val="000000"/>
                <w:sz w:val="20"/>
              </w:rPr>
            </w:pPr>
            <w:r>
              <w:rPr>
                <w:rFonts w:ascii="Times New Roman;serif" w:hAnsi="Times New Roman;serif"/>
                <w:b w:val="false"/>
                <w:color w:val="000000"/>
                <w:sz w:val="20"/>
              </w:rPr>
              <w:t>1,001 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52" w:before="0" w:after="283"/>
              <w:jc w:val="right"/>
              <w:rPr>
                <w:rFonts w:ascii="Times New Roman;serif" w:hAnsi="Times New Roman;serif"/>
                <w:b w:val="false"/>
                <w:color w:val="000000"/>
                <w:sz w:val="20"/>
              </w:rPr>
            </w:pPr>
            <w:r>
              <w:rPr>
                <w:rFonts w:ascii="Times New Roman;serif" w:hAnsi="Times New Roman;serif"/>
                <w:b w:val="false"/>
                <w:color w:val="000000"/>
                <w:sz w:val="20"/>
              </w:rPr>
              <w:t>3,505 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40" w:type="dxa"/>
            <w:gridSpan w:val="3"/>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serif" w:hAnsi="Times New Roman;serif"/>
                <w:b w:val="false"/>
                <w:color w:val="000000"/>
                <w:sz w:val="20"/>
              </w:rPr>
            </w:pPr>
            <w:r>
              <w:rPr>
                <w:rFonts w:ascii="Times New Roman;serif" w:hAnsi="Times New Roman;serif"/>
                <w:b w:val="false"/>
                <w:color w:val="000000"/>
                <w:sz w:val="20"/>
              </w:rPr>
              <w:t>Property and equipment, net</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serif" w:hAnsi="Times New Roman;serif"/>
                <w:b w:val="false"/>
                <w:color w:val="000000"/>
                <w:sz w:val="20"/>
              </w:rPr>
            </w:pPr>
            <w:r>
              <w:rPr>
                <w:rFonts w:ascii="Times New Roman;serif" w:hAnsi="Times New Roman;serif"/>
                <w:b w:val="false"/>
                <w:color w:val="000000"/>
                <w:sz w:val="20"/>
              </w:rPr>
              <w:t>6,123 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serif" w:hAnsi="Times New Roman;serif"/>
                <w:b w:val="false"/>
                <w:color w:val="000000"/>
                <w:sz w:val="20"/>
              </w:rPr>
            </w:pPr>
            <w:r>
              <w:rPr>
                <w:rFonts w:ascii="Times New Roman;serif" w:hAnsi="Times New Roman;serif"/>
                <w:b w:val="false"/>
                <w:color w:val="000000"/>
                <w:sz w:val="20"/>
              </w:rPr>
              <w:t>6,760 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40" w:type="dxa"/>
            <w:gridSpan w:val="3"/>
            <w:tcBorders/>
            <w:shd w:fill="CCEEFF" w:val="clear"/>
            <w:tcMar>
              <w:top w:w="0" w:type="dxa"/>
              <w:left w:w="0" w:type="dxa"/>
              <w:bottom w:w="0" w:type="dxa"/>
              <w:right w:w="0" w:type="dxa"/>
            </w:tcMar>
            <w:vAlign w:val="center"/>
          </w:tcPr>
          <w:p>
            <w:pPr>
              <w:pStyle w:val="TableContents"/>
              <w:bidi w:val="0"/>
              <w:spacing w:lineRule="auto" w:line="252"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lease, right of use assets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52" w:before="0" w:after="283"/>
              <w:jc w:val="right"/>
              <w:rPr>
                <w:rFonts w:ascii="Times New Roman;serif" w:hAnsi="Times New Roman;serif"/>
                <w:b w:val="false"/>
                <w:color w:val="000000"/>
                <w:sz w:val="20"/>
              </w:rPr>
            </w:pPr>
            <w:r>
              <w:rPr>
                <w:rFonts w:ascii="Times New Roman;serif" w:hAnsi="Times New Roman;serif"/>
                <w:b w:val="false"/>
                <w:color w:val="000000"/>
                <w:sz w:val="20"/>
              </w:rPr>
              <w:t>17,356 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52" w:before="0" w:after="283"/>
              <w:jc w:val="right"/>
              <w:rPr>
                <w:rFonts w:ascii="Times New Roman;serif" w:hAnsi="Times New Roman;serif"/>
                <w:b w:val="false"/>
                <w:color w:val="000000"/>
                <w:sz w:val="20"/>
              </w:rPr>
            </w:pPr>
            <w:r>
              <w:rPr>
                <w:rFonts w:ascii="Times New Roman;serif" w:hAnsi="Times New Roman;serif"/>
                <w:b w:val="false"/>
                <w:color w:val="000000"/>
                <w:sz w:val="20"/>
              </w:rPr>
              <w:t>17,670 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40" w:type="dxa"/>
            <w:gridSpan w:val="3"/>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serif" w:hAnsi="Times New Roman;serif"/>
                <w:b w:val="false"/>
                <w:color w:val="000000"/>
                <w:sz w:val="20"/>
              </w:rPr>
            </w:pPr>
            <w:r>
              <w:rPr>
                <w:rFonts w:ascii="Times New Roman;serif" w:hAnsi="Times New Roman;serif"/>
                <w:b w:val="false"/>
                <w:color w:val="000000"/>
                <w:sz w:val="20"/>
              </w:rPr>
              <w:t>Other assets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serif" w:hAnsi="Times New Roman;serif"/>
                <w:b w:val="false"/>
                <w:color w:val="000000"/>
                <w:sz w:val="20"/>
              </w:rPr>
            </w:pPr>
            <w:r>
              <w:rPr>
                <w:rFonts w:ascii="Times New Roman;serif" w:hAnsi="Times New Roman;serif"/>
                <w:b w:val="false"/>
                <w:color w:val="000000"/>
                <w:sz w:val="20"/>
              </w:rPr>
              <w:t>2,137 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serif" w:hAnsi="Times New Roman;serif"/>
                <w:b w:val="false"/>
                <w:color w:val="000000"/>
                <w:sz w:val="20"/>
              </w:rPr>
            </w:pPr>
            <w:r>
              <w:rPr>
                <w:rFonts w:ascii="Times New Roman;serif" w:hAnsi="Times New Roman;serif"/>
                <w:b w:val="false"/>
                <w:color w:val="000000"/>
                <w:sz w:val="20"/>
              </w:rPr>
              <w:t>2,200 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40" w:type="dxa"/>
            <w:gridSpan w:val="3"/>
            <w:tcBorders/>
            <w:shd w:fill="CCEEFF" w:val="clear"/>
            <w:tcMar>
              <w:top w:w="0" w:type="dxa"/>
              <w:left w:w="0" w:type="dxa"/>
              <w:bottom w:w="0" w:type="dxa"/>
              <w:right w:w="0" w:type="dxa"/>
            </w:tcMar>
            <w:vAlign w:val="center"/>
          </w:tcPr>
          <w:p>
            <w:pPr>
              <w:pStyle w:val="TableContents"/>
              <w:bidi w:val="0"/>
              <w:spacing w:lineRule="auto" w:line="252" w:before="0" w:after="283"/>
              <w:jc w:val="left"/>
              <w:rPr>
                <w:rFonts w:ascii="Times New Roman;serif" w:hAnsi="Times New Roman;serif"/>
                <w:b w:val="false"/>
                <w:color w:val="000000"/>
                <w:sz w:val="20"/>
              </w:rPr>
            </w:pPr>
            <w:r>
              <w:rPr>
                <w:rFonts w:ascii="Times New Roman;serif" w:hAnsi="Times New Roman;serif"/>
                <w:b w:val="false"/>
                <w:color w:val="000000"/>
                <w:sz w:val="20"/>
              </w:rPr>
              <w:t>TOTAL ASSETS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52"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52" w:before="0" w:after="283"/>
              <w:jc w:val="right"/>
              <w:rPr>
                <w:rFonts w:ascii="Times New Roman;serif" w:hAnsi="Times New Roman;serif"/>
                <w:b w:val="false"/>
                <w:color w:val="000000"/>
                <w:sz w:val="20"/>
              </w:rPr>
            </w:pPr>
            <w:r>
              <w:rPr>
                <w:rFonts w:ascii="Times New Roman;serif" w:hAnsi="Times New Roman;serif"/>
                <w:b w:val="false"/>
                <w:color w:val="000000"/>
                <w:sz w:val="20"/>
              </w:rPr>
              <w:t>148,998 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52"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52" w:before="0" w:after="283"/>
              <w:jc w:val="right"/>
              <w:rPr>
                <w:rFonts w:ascii="Times New Roman;serif" w:hAnsi="Times New Roman;serif"/>
                <w:b w:val="false"/>
                <w:color w:val="000000"/>
                <w:sz w:val="20"/>
              </w:rPr>
            </w:pPr>
            <w:r>
              <w:rPr>
                <w:rFonts w:ascii="Times New Roman;serif" w:hAnsi="Times New Roman;serif"/>
                <w:b w:val="false"/>
                <w:color w:val="000000"/>
                <w:sz w:val="20"/>
              </w:rPr>
              <w:t>175,367 </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40" w:type="dxa"/>
            <w:gridSpan w:val="3"/>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serif" w:hAnsi="Times New Roman;serif"/>
                <w:b/>
                <w:color w:val="000000"/>
                <w:sz w:val="20"/>
              </w:rPr>
            </w:pPr>
            <w:r>
              <w:rPr>
                <w:rFonts w:ascii="Times New Roman;serif" w:hAnsi="Times New Roman;serif"/>
                <w:b/>
                <w:color w:val="000000"/>
                <w:sz w:val="20"/>
              </w:rPr>
              <w:t>LIABILITIES AND STOCKHOLDERS’ EQUITY</w:t>
            </w:r>
          </w:p>
        </w:tc>
        <w:tc>
          <w:tcPr>
            <w:tcW w:w="114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40" w:type="dxa"/>
            <w:gridSpan w:val="3"/>
            <w:tcBorders/>
            <w:shd w:fill="CCEEFF" w:val="clear"/>
            <w:tcMar>
              <w:top w:w="0" w:type="dxa"/>
              <w:left w:w="0" w:type="dxa"/>
              <w:bottom w:w="0" w:type="dxa"/>
              <w:right w:w="0" w:type="dxa"/>
            </w:tcMar>
            <w:vAlign w:val="center"/>
          </w:tcPr>
          <w:p>
            <w:pPr>
              <w:pStyle w:val="TableContents"/>
              <w:bidi w:val="0"/>
              <w:spacing w:lineRule="auto" w:line="252" w:before="0" w:after="283"/>
              <w:jc w:val="left"/>
              <w:rPr>
                <w:rFonts w:ascii="Times New Roman;serif" w:hAnsi="Times New Roman;serif"/>
                <w:b w:val="false"/>
                <w:color w:val="000000"/>
                <w:sz w:val="20"/>
              </w:rPr>
            </w:pPr>
            <w:r>
              <w:rPr>
                <w:rFonts w:ascii="Times New Roman;serif" w:hAnsi="Times New Roman;serif"/>
                <w:b w:val="false"/>
                <w:color w:val="000000"/>
                <w:sz w:val="20"/>
              </w:rPr>
              <w:t>CURRENT LIABILITIES</w:t>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40" w:type="dxa"/>
            <w:gridSpan w:val="3"/>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serif" w:hAnsi="Times New Roman;serif"/>
                <w:b w:val="false"/>
                <w:color w:val="000000"/>
                <w:sz w:val="20"/>
              </w:rPr>
            </w:pPr>
            <w:r>
              <w:rPr>
                <w:rFonts w:ascii="Times New Roman;serif" w:hAnsi="Times New Roman;serif"/>
                <w:b w:val="false"/>
                <w:color w:val="000000"/>
                <w:sz w:val="20"/>
              </w:rPr>
              <w:t>Accounts payable</w:t>
            </w:r>
          </w:p>
        </w:tc>
        <w:tc>
          <w:tcPr>
            <w:tcW w:w="21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serif" w:hAnsi="Times New Roman;serif"/>
                <w:b w:val="false"/>
                <w:color w:val="000000"/>
                <w:sz w:val="20"/>
              </w:rPr>
            </w:pPr>
            <w:r>
              <w:rPr>
                <w:rFonts w:ascii="Times New Roman;serif" w:hAnsi="Times New Roman;serif"/>
                <w:b w:val="false"/>
                <w:color w:val="000000"/>
                <w:sz w:val="20"/>
              </w:rPr>
              <w:t>3,503 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serif" w:hAnsi="Times New Roman;serif"/>
                <w:b w:val="false"/>
                <w:color w:val="000000"/>
                <w:sz w:val="20"/>
              </w:rPr>
            </w:pPr>
            <w:r>
              <w:rPr>
                <w:rFonts w:ascii="Times New Roman;serif" w:hAnsi="Times New Roman;serif"/>
                <w:b w:val="false"/>
                <w:color w:val="000000"/>
                <w:sz w:val="20"/>
              </w:rPr>
              <w:t>5,783 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40" w:type="dxa"/>
            <w:gridSpan w:val="3"/>
            <w:tcBorders/>
            <w:shd w:fill="CCEEFF" w:val="clear"/>
            <w:tcMar>
              <w:top w:w="0" w:type="dxa"/>
              <w:left w:w="0" w:type="dxa"/>
              <w:bottom w:w="0" w:type="dxa"/>
              <w:right w:w="0" w:type="dxa"/>
            </w:tcMar>
            <w:vAlign w:val="center"/>
          </w:tcPr>
          <w:p>
            <w:pPr>
              <w:pStyle w:val="TableContents"/>
              <w:bidi w:val="0"/>
              <w:spacing w:lineRule="auto" w:line="252" w:before="0" w:after="283"/>
              <w:jc w:val="left"/>
              <w:rPr>
                <w:rFonts w:ascii="Times New Roman;serif" w:hAnsi="Times New Roman;serif"/>
                <w:b w:val="false"/>
                <w:color w:val="000000"/>
                <w:sz w:val="20"/>
              </w:rPr>
            </w:pPr>
            <w:r>
              <w:rPr>
                <w:rFonts w:ascii="Times New Roman;serif" w:hAnsi="Times New Roman;serif"/>
                <w:b w:val="false"/>
                <w:color w:val="000000"/>
                <w:sz w:val="20"/>
              </w:rPr>
              <w:t>Accrued expenses and other current liabilities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52" w:before="0" w:after="283"/>
              <w:jc w:val="right"/>
              <w:rPr>
                <w:rFonts w:ascii="Times New Roman;serif" w:hAnsi="Times New Roman;serif"/>
                <w:b w:val="false"/>
                <w:color w:val="000000"/>
                <w:sz w:val="20"/>
              </w:rPr>
            </w:pPr>
            <w:r>
              <w:rPr>
                <w:rFonts w:ascii="Times New Roman;serif" w:hAnsi="Times New Roman;serif"/>
                <w:b w:val="false"/>
                <w:color w:val="000000"/>
                <w:sz w:val="20"/>
              </w:rPr>
              <w:t>13,889 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52" w:before="0" w:after="283"/>
              <w:jc w:val="right"/>
              <w:rPr>
                <w:rFonts w:ascii="Times New Roman;serif" w:hAnsi="Times New Roman;serif"/>
                <w:b w:val="false"/>
                <w:color w:val="000000"/>
                <w:sz w:val="20"/>
              </w:rPr>
            </w:pPr>
            <w:r>
              <w:rPr>
                <w:rFonts w:ascii="Times New Roman;serif" w:hAnsi="Times New Roman;serif"/>
                <w:b w:val="false"/>
                <w:color w:val="000000"/>
                <w:sz w:val="20"/>
              </w:rPr>
              <w:t>16,535 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40" w:type="dxa"/>
            <w:gridSpan w:val="3"/>
            <w:tcBorders/>
            <w:shd w:fill="FFFFFF" w:val="clear"/>
            <w:tcMar>
              <w:top w:w="0" w:type="dxa"/>
              <w:left w:w="0" w:type="dxa"/>
              <w:bottom w:w="0" w:type="dxa"/>
              <w:right w:w="0" w:type="dxa"/>
            </w:tcMar>
            <w:vAlign w:val="center"/>
          </w:tcPr>
          <w:p>
            <w:pPr>
              <w:pStyle w:val="TableContents"/>
              <w:bidi w:val="0"/>
              <w:spacing w:lineRule="auto" w:line="252" w:before="0" w:after="0"/>
              <w:jc w:val="left"/>
              <w:rPr>
                <w:rFonts w:ascii="Times New Roman;serif" w:hAnsi="Times New Roman;serif"/>
                <w:b w:val="false"/>
                <w:color w:val="000000"/>
                <w:sz w:val="20"/>
              </w:rPr>
            </w:pPr>
            <w:r>
              <w:rPr>
                <w:rFonts w:ascii="Times New Roman;serif" w:hAnsi="Times New Roman;serif"/>
                <w:b w:val="false"/>
                <w:color w:val="000000"/>
                <w:sz w:val="20"/>
              </w:rPr>
              <w:t>Operating lease liabilities, current</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serif" w:hAnsi="Times New Roman;serif"/>
                <w:b w:val="false"/>
                <w:color w:val="000000"/>
                <w:sz w:val="20"/>
              </w:rPr>
            </w:pPr>
            <w:r>
              <w:rPr>
                <w:rFonts w:ascii="Times New Roman;serif" w:hAnsi="Times New Roman;serif"/>
                <w:b w:val="false"/>
                <w:color w:val="000000"/>
                <w:sz w:val="20"/>
              </w:rPr>
              <w:t>1,287 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serif" w:hAnsi="Times New Roman;serif"/>
                <w:b w:val="false"/>
                <w:color w:val="000000"/>
                <w:sz w:val="20"/>
              </w:rPr>
            </w:pPr>
            <w:r>
              <w:rPr>
                <w:rFonts w:ascii="Times New Roman;serif" w:hAnsi="Times New Roman;serif"/>
                <w:b w:val="false"/>
                <w:color w:val="000000"/>
                <w:sz w:val="20"/>
              </w:rPr>
              <w:t>1,201 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40" w:type="dxa"/>
            <w:gridSpan w:val="3"/>
            <w:tcBorders/>
            <w:shd w:fill="CCEEFF" w:val="clear"/>
            <w:tcMar>
              <w:top w:w="0" w:type="dxa"/>
              <w:left w:w="0" w:type="dxa"/>
              <w:bottom w:w="0" w:type="dxa"/>
              <w:right w:w="0" w:type="dxa"/>
            </w:tcMar>
            <w:vAlign w:val="center"/>
          </w:tcPr>
          <w:p>
            <w:pPr>
              <w:pStyle w:val="TableContents"/>
              <w:bidi w:val="0"/>
              <w:spacing w:lineRule="auto" w:line="252" w:before="0" w:after="0"/>
              <w:jc w:val="left"/>
              <w:rPr>
                <w:rFonts w:ascii="Times New Roman;serif" w:hAnsi="Times New Roman;serif"/>
                <w:b w:val="false"/>
                <w:color w:val="000000"/>
                <w:sz w:val="20"/>
              </w:rPr>
            </w:pPr>
            <w:r>
              <w:rPr>
                <w:rFonts w:ascii="Times New Roman;serif" w:hAnsi="Times New Roman;serif"/>
                <w:b w:val="false"/>
                <w:color w:val="000000"/>
                <w:sz w:val="20"/>
              </w:rPr>
              <w:t>Deferred revenue</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52" w:before="0" w:after="283"/>
              <w:jc w:val="right"/>
              <w:rPr>
                <w:rFonts w:ascii="Times New Roman;serif" w:hAnsi="Times New Roman;serif"/>
                <w:b w:val="false"/>
                <w:color w:val="000000"/>
                <w:sz w:val="20"/>
              </w:rPr>
            </w:pPr>
            <w:r>
              <w:rPr>
                <w:rFonts w:ascii="Times New Roman;serif" w:hAnsi="Times New Roman;serif"/>
                <w:b w:val="false"/>
                <w:color w:val="000000"/>
                <w:sz w:val="20"/>
              </w:rPr>
              <w:t>994 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52" w:before="0" w:after="283"/>
              <w:jc w:val="right"/>
              <w:rPr>
                <w:rFonts w:ascii="Times New Roman;serif" w:hAnsi="Times New Roman;serif"/>
                <w:b w:val="false"/>
                <w:color w:val="000000"/>
                <w:sz w:val="20"/>
              </w:rPr>
            </w:pPr>
            <w:r>
              <w:rPr>
                <w:rFonts w:ascii="Times New Roman;serif" w:hAnsi="Times New Roman;serif"/>
                <w:b w:val="false"/>
                <w:color w:val="000000"/>
                <w:sz w:val="20"/>
              </w:rPr>
              <w:t>1,895 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40" w:type="dxa"/>
            <w:gridSpan w:val="3"/>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serif" w:hAnsi="Times New Roman;serif"/>
                <w:b w:val="false"/>
                <w:color w:val="000000"/>
                <w:sz w:val="20"/>
              </w:rPr>
            </w:pPr>
            <w:r>
              <w:rPr>
                <w:rFonts w:ascii="Times New Roman;serif" w:hAnsi="Times New Roman;serif"/>
                <w:b w:val="false"/>
                <w:color w:val="000000"/>
                <w:sz w:val="20"/>
              </w:rPr>
              <w:t>Total current liabilities</w:t>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52" w:before="0" w:after="283"/>
              <w:jc w:val="right"/>
              <w:rPr>
                <w:rFonts w:ascii="Times New Roman;serif" w:hAnsi="Times New Roman;serif"/>
                <w:b w:val="false"/>
                <w:color w:val="000000"/>
                <w:sz w:val="20"/>
              </w:rPr>
            </w:pPr>
            <w:r>
              <w:rPr>
                <w:rFonts w:ascii="Times New Roman;serif" w:hAnsi="Times New Roman;serif"/>
                <w:b w:val="false"/>
                <w:color w:val="000000"/>
                <w:sz w:val="20"/>
              </w:rPr>
              <w:t>19,673 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52" w:before="0" w:after="283"/>
              <w:jc w:val="right"/>
              <w:rPr>
                <w:rFonts w:ascii="Times New Roman;serif" w:hAnsi="Times New Roman;serif"/>
                <w:b w:val="false"/>
                <w:color w:val="000000"/>
                <w:sz w:val="20"/>
              </w:rPr>
            </w:pPr>
            <w:r>
              <w:rPr>
                <w:rFonts w:ascii="Times New Roman;serif" w:hAnsi="Times New Roman;serif"/>
                <w:b w:val="false"/>
                <w:color w:val="000000"/>
                <w:sz w:val="20"/>
              </w:rPr>
              <w:t>25,414 </w:t>
            </w:r>
          </w:p>
        </w:tc>
        <w:tc>
          <w:tcPr>
            <w:tcW w:w="15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40" w:type="dxa"/>
            <w:gridSpan w:val="3"/>
            <w:tcBorders/>
            <w:shd w:fill="CCEEFF" w:val="clear"/>
            <w:tcMar>
              <w:top w:w="0" w:type="dxa"/>
              <w:left w:w="0" w:type="dxa"/>
              <w:bottom w:w="0" w:type="dxa"/>
              <w:right w:w="0" w:type="dxa"/>
            </w:tcMar>
            <w:vAlign w:val="center"/>
          </w:tcPr>
          <w:p>
            <w:pPr>
              <w:pStyle w:val="TableContents"/>
              <w:bidi w:val="0"/>
              <w:spacing w:lineRule="auto" w:line="252" w:before="0" w:after="283"/>
              <w:jc w:val="left"/>
              <w:rPr>
                <w:rFonts w:ascii="Times New Roman;serif" w:hAnsi="Times New Roman;serif"/>
                <w:b w:val="false"/>
                <w:color w:val="000000"/>
                <w:sz w:val="20"/>
              </w:rPr>
            </w:pPr>
            <w:r>
              <w:rPr>
                <w:rFonts w:ascii="Times New Roman;serif" w:hAnsi="Times New Roman;serif"/>
                <w:b w:val="false"/>
                <w:color w:val="000000"/>
                <w:sz w:val="20"/>
              </w:rPr>
              <w:t>LONG-TERM LIABILITIES</w:t>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40" w:type="dxa"/>
            <w:gridSpan w:val="3"/>
            <w:tcBorders/>
            <w:shd w:fill="FFFFFF" w:val="clear"/>
            <w:tcMar>
              <w:top w:w="0" w:type="dxa"/>
              <w:left w:w="0" w:type="dxa"/>
              <w:bottom w:w="0" w:type="dxa"/>
              <w:right w:w="0" w:type="dxa"/>
            </w:tcMar>
            <w:vAlign w:val="center"/>
          </w:tcPr>
          <w:p>
            <w:pPr>
              <w:pStyle w:val="TableContents"/>
              <w:bidi w:val="0"/>
              <w:spacing w:lineRule="auto" w:line="252" w:before="0" w:after="0"/>
              <w:jc w:val="left"/>
              <w:rPr>
                <w:rFonts w:ascii="Times New Roman;serif" w:hAnsi="Times New Roman;serif"/>
                <w:b w:val="false"/>
                <w:color w:val="000000"/>
                <w:sz w:val="20"/>
              </w:rPr>
            </w:pPr>
            <w:r>
              <w:rPr>
                <w:rFonts w:ascii="Times New Roman;serif" w:hAnsi="Times New Roman;serif"/>
                <w:b w:val="false"/>
                <w:color w:val="000000"/>
                <w:sz w:val="20"/>
              </w:rPr>
              <w:t>Deferred revenue, net of current portion</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serif" w:hAnsi="Times New Roman;serif"/>
                <w:b w:val="false"/>
                <w:color w:val="000000"/>
                <w:sz w:val="20"/>
              </w:rPr>
            </w:pPr>
            <w:r>
              <w:rPr>
                <w:rFonts w:ascii="Times New Roman;serif" w:hAnsi="Times New Roman;serif"/>
                <w:b w:val="false"/>
                <w:color w:val="000000"/>
                <w:sz w:val="20"/>
              </w:rPr>
              <w:t>1,648 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serif" w:hAnsi="Times New Roman;serif"/>
                <w:b w:val="false"/>
                <w:color w:val="000000"/>
                <w:sz w:val="20"/>
              </w:rPr>
            </w:pPr>
            <w:r>
              <w:rPr>
                <w:rFonts w:ascii="Times New Roman;serif" w:hAnsi="Times New Roman;serif"/>
                <w:b w:val="false"/>
                <w:color w:val="000000"/>
                <w:sz w:val="20"/>
              </w:rPr>
              <w:t>1,752 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40" w:type="dxa"/>
            <w:gridSpan w:val="3"/>
            <w:tcBorders/>
            <w:shd w:fill="CCEEFF" w:val="clear"/>
            <w:tcMar>
              <w:top w:w="0" w:type="dxa"/>
              <w:left w:w="0" w:type="dxa"/>
              <w:bottom w:w="0" w:type="dxa"/>
              <w:right w:w="0" w:type="dxa"/>
            </w:tcMar>
            <w:vAlign w:val="center"/>
          </w:tcPr>
          <w:p>
            <w:pPr>
              <w:pStyle w:val="TableContents"/>
              <w:bidi w:val="0"/>
              <w:spacing w:lineRule="auto" w:line="252" w:before="0" w:after="0"/>
              <w:jc w:val="left"/>
              <w:rPr>
                <w:rFonts w:ascii="Times New Roman;serif" w:hAnsi="Times New Roman;serif"/>
                <w:b w:val="false"/>
                <w:color w:val="000000"/>
                <w:sz w:val="20"/>
              </w:rPr>
            </w:pPr>
            <w:r>
              <w:rPr>
                <w:rFonts w:ascii="Times New Roman;serif" w:hAnsi="Times New Roman;serif"/>
                <w:b w:val="false"/>
                <w:color w:val="000000"/>
                <w:sz w:val="20"/>
              </w:rPr>
              <w:t>Operating lease liabilities, non-current</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52" w:before="0" w:after="283"/>
              <w:jc w:val="right"/>
              <w:rPr>
                <w:rFonts w:ascii="Times New Roman;serif" w:hAnsi="Times New Roman;serif"/>
                <w:b w:val="false"/>
                <w:color w:val="000000"/>
                <w:sz w:val="20"/>
              </w:rPr>
            </w:pPr>
            <w:r>
              <w:rPr>
                <w:rFonts w:ascii="Times New Roman;serif" w:hAnsi="Times New Roman;serif"/>
                <w:b w:val="false"/>
                <w:color w:val="000000"/>
                <w:sz w:val="20"/>
              </w:rPr>
              <w:t>25,659 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52" w:before="0" w:after="283"/>
              <w:jc w:val="right"/>
              <w:rPr>
                <w:rFonts w:ascii="Times New Roman;serif" w:hAnsi="Times New Roman;serif"/>
                <w:b w:val="false"/>
                <w:color w:val="000000"/>
                <w:sz w:val="20"/>
              </w:rPr>
            </w:pPr>
            <w:r>
              <w:rPr>
                <w:rFonts w:ascii="Times New Roman;serif" w:hAnsi="Times New Roman;serif"/>
                <w:b w:val="false"/>
                <w:color w:val="000000"/>
                <w:sz w:val="20"/>
              </w:rPr>
              <w:t>26,026 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40" w:type="dxa"/>
            <w:gridSpan w:val="3"/>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serif" w:hAnsi="Times New Roman;serif"/>
                <w:b w:val="false"/>
                <w:color w:val="000000"/>
                <w:sz w:val="20"/>
              </w:rPr>
            </w:pPr>
            <w:r>
              <w:rPr>
                <w:rFonts w:ascii="Times New Roman;serif" w:hAnsi="Times New Roman;serif"/>
                <w:b w:val="false"/>
                <w:color w:val="000000"/>
                <w:sz w:val="20"/>
              </w:rPr>
              <w:t>Total liabilities</w:t>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52" w:before="0" w:after="283"/>
              <w:jc w:val="right"/>
              <w:rPr>
                <w:rFonts w:ascii="Times New Roman;serif" w:hAnsi="Times New Roman;serif"/>
                <w:b w:val="false"/>
                <w:color w:val="000000"/>
                <w:sz w:val="20"/>
              </w:rPr>
            </w:pPr>
            <w:r>
              <w:rPr>
                <w:rFonts w:ascii="Times New Roman;serif" w:hAnsi="Times New Roman;serif"/>
                <w:b w:val="false"/>
                <w:color w:val="000000"/>
                <w:sz w:val="20"/>
              </w:rPr>
              <w:t>46,980 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52" w:before="0" w:after="283"/>
              <w:jc w:val="right"/>
              <w:rPr>
                <w:rFonts w:ascii="Times New Roman;serif" w:hAnsi="Times New Roman;serif"/>
                <w:b w:val="false"/>
                <w:color w:val="000000"/>
                <w:sz w:val="20"/>
              </w:rPr>
            </w:pPr>
            <w:r>
              <w:rPr>
                <w:rFonts w:ascii="Times New Roman;serif" w:hAnsi="Times New Roman;serif"/>
                <w:b w:val="false"/>
                <w:color w:val="000000"/>
                <w:sz w:val="20"/>
              </w:rPr>
              <w:t>53,192 </w:t>
            </w:r>
          </w:p>
        </w:tc>
        <w:tc>
          <w:tcPr>
            <w:tcW w:w="15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40" w:type="dxa"/>
            <w:gridSpan w:val="3"/>
            <w:tcBorders/>
            <w:shd w:fill="CCEEFF" w:val="clear"/>
            <w:tcMar>
              <w:top w:w="0" w:type="dxa"/>
              <w:left w:w="0" w:type="dxa"/>
              <w:bottom w:w="0" w:type="dxa"/>
              <w:right w:w="0" w:type="dxa"/>
            </w:tcMar>
            <w:vAlign w:val="center"/>
          </w:tcPr>
          <w:p>
            <w:pPr>
              <w:pStyle w:val="TableContents"/>
              <w:bidi w:val="0"/>
              <w:spacing w:lineRule="auto" w:line="252" w:before="0" w:after="283"/>
              <w:jc w:val="left"/>
              <w:rPr>
                <w:rFonts w:ascii="Times New Roman;serif" w:hAnsi="Times New Roman;serif"/>
                <w:b w:val="false"/>
                <w:color w:val="000000"/>
                <w:sz w:val="20"/>
              </w:rPr>
            </w:pPr>
            <w:r>
              <w:rPr>
                <w:rFonts w:ascii="Times New Roman;serif" w:hAnsi="Times New Roman;serif"/>
                <w:b w:val="false"/>
                <w:color w:val="000000"/>
                <w:sz w:val="20"/>
              </w:rPr>
              <w:t>COMMITMENTS AND CONTINGENCIES (Note 8)</w:t>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40" w:type="dxa"/>
            <w:gridSpan w:val="3"/>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serif" w:hAnsi="Times New Roman;serif"/>
                <w:b w:val="false"/>
                <w:color w:val="000000"/>
                <w:sz w:val="20"/>
              </w:rPr>
            </w:pPr>
            <w:r>
              <w:rPr>
                <w:rFonts w:ascii="Times New Roman;serif" w:hAnsi="Times New Roman;serif"/>
                <w:b w:val="false"/>
                <w:color w:val="000000"/>
                <w:sz w:val="20"/>
              </w:rPr>
              <w:t>STOCKHOLDERS’ EQUITY</w:t>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40" w:type="dxa"/>
            <w:gridSpan w:val="3"/>
            <w:tcBorders/>
            <w:shd w:fill="CCEEFF" w:val="clear"/>
            <w:tcMar>
              <w:top w:w="0" w:type="dxa"/>
              <w:left w:w="0" w:type="dxa"/>
              <w:bottom w:w="0" w:type="dxa"/>
              <w:right w:w="0" w:type="dxa"/>
            </w:tcMar>
            <w:vAlign w:val="center"/>
          </w:tcPr>
          <w:p>
            <w:pPr>
              <w:pStyle w:val="TableContents"/>
              <w:bidi w:val="0"/>
              <w:spacing w:lineRule="auto" w:line="252" w:before="0" w:after="0"/>
              <w:jc w:val="left"/>
              <w:rPr>
                <w:rFonts w:ascii="Times New Roman;serif" w:hAnsi="Times New Roman;serif"/>
                <w:b w:val="false"/>
                <w:color w:val="000000"/>
                <w:sz w:val="20"/>
              </w:rPr>
            </w:pPr>
            <w:r>
              <w:rPr>
                <w:rFonts w:ascii="Times New Roman;serif" w:hAnsi="Times New Roman;serif"/>
                <w:b w:val="false"/>
                <w:color w:val="000000"/>
                <w:sz w:val="20"/>
              </w:rPr>
              <w:t>Common stock, par value $0.0001 per share, 300,000,000 shares authorized as of March 31, 2026, and December 31, 2025; 96,951,234 and 95,143,690 shares issued and outstanding as of March 31, 2026, and December 31, 2025, respectively</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52" w:before="0" w:after="283"/>
              <w:jc w:val="right"/>
              <w:rPr>
                <w:rFonts w:ascii="Times New Roman;serif" w:hAnsi="Times New Roman;serif"/>
                <w:b w:val="false"/>
                <w:color w:val="000000"/>
                <w:sz w:val="20"/>
              </w:rPr>
            </w:pPr>
            <w:r>
              <w:rPr>
                <w:rFonts w:ascii="Times New Roman;serif" w:hAnsi="Times New Roman;serif"/>
                <w:b w:val="false"/>
                <w:color w:val="000000"/>
                <w:sz w:val="20"/>
              </w:rPr>
              <w:t>10 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52" w:before="0" w:after="283"/>
              <w:jc w:val="right"/>
              <w:rPr>
                <w:rFonts w:ascii="Times New Roman;serif" w:hAnsi="Times New Roman;serif"/>
                <w:b w:val="false"/>
                <w:color w:val="000000"/>
                <w:sz w:val="20"/>
              </w:rPr>
            </w:pPr>
            <w:r>
              <w:rPr>
                <w:rFonts w:ascii="Times New Roman;serif" w:hAnsi="Times New Roman;serif"/>
                <w:b w:val="false"/>
                <w:color w:val="000000"/>
                <w:sz w:val="20"/>
              </w:rPr>
              <w:t>9 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40" w:type="dxa"/>
            <w:gridSpan w:val="3"/>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serif" w:hAnsi="Times New Roman;serif"/>
                <w:b w:val="false"/>
                <w:color w:val="000000"/>
                <w:sz w:val="20"/>
              </w:rPr>
            </w:pPr>
            <w:r>
              <w:rPr>
                <w:rFonts w:ascii="Times New Roman;serif" w:hAnsi="Times New Roman;serif"/>
                <w:b w:val="false"/>
                <w:color w:val="000000"/>
                <w:sz w:val="20"/>
              </w:rPr>
              <w:t>Additional paid-in-capital</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serif" w:hAnsi="Times New Roman;serif"/>
                <w:b w:val="false"/>
                <w:color w:val="000000"/>
                <w:sz w:val="20"/>
              </w:rPr>
            </w:pPr>
            <w:r>
              <w:rPr>
                <w:rFonts w:ascii="Times New Roman;serif" w:hAnsi="Times New Roman;serif"/>
                <w:b w:val="false"/>
                <w:color w:val="000000"/>
                <w:sz w:val="20"/>
              </w:rPr>
              <w:t>723,631 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serif" w:hAnsi="Times New Roman;serif"/>
                <w:b w:val="false"/>
                <w:color w:val="000000"/>
                <w:sz w:val="20"/>
              </w:rPr>
            </w:pPr>
            <w:r>
              <w:rPr>
                <w:rFonts w:ascii="Times New Roman;serif" w:hAnsi="Times New Roman;serif"/>
                <w:b w:val="false"/>
                <w:color w:val="000000"/>
                <w:sz w:val="20"/>
              </w:rPr>
              <w:t>718,578 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40" w:type="dxa"/>
            <w:gridSpan w:val="3"/>
            <w:tcBorders/>
            <w:shd w:fill="CCEEFF" w:val="clear"/>
            <w:tcMar>
              <w:top w:w="0" w:type="dxa"/>
              <w:left w:w="0" w:type="dxa"/>
              <w:bottom w:w="0" w:type="dxa"/>
              <w:right w:w="0" w:type="dxa"/>
            </w:tcMar>
            <w:vAlign w:val="center"/>
          </w:tcPr>
          <w:p>
            <w:pPr>
              <w:pStyle w:val="TableContents"/>
              <w:bidi w:val="0"/>
              <w:spacing w:lineRule="auto" w:line="252" w:before="0" w:after="283"/>
              <w:jc w:val="left"/>
              <w:rPr>
                <w:rFonts w:ascii="Times New Roman;serif" w:hAnsi="Times New Roman;serif"/>
                <w:b w:val="false"/>
                <w:color w:val="000000"/>
                <w:sz w:val="20"/>
              </w:rPr>
            </w:pPr>
            <w:r>
              <w:rPr>
                <w:rFonts w:ascii="Times New Roman;serif" w:hAnsi="Times New Roman;serif"/>
                <w:b w:val="false"/>
                <w:color w:val="000000"/>
                <w:sz w:val="20"/>
              </w:rPr>
              <w:t>Accumulated other comprehensive (loss) income</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52" w:before="0" w:after="283"/>
              <w:jc w:val="right"/>
              <w:rPr>
                <w:rFonts w:ascii="Times New Roman;serif" w:hAnsi="Times New Roman;serif"/>
                <w:b w:val="false"/>
                <w:color w:val="000000"/>
                <w:sz w:val="20"/>
              </w:rPr>
            </w:pPr>
            <w:r>
              <w:rPr>
                <w:rFonts w:ascii="Times New Roman;serif" w:hAnsi="Times New Roman;serif"/>
                <w:b w:val="false"/>
                <w:color w:val="000000"/>
                <w:sz w:val="20"/>
              </w:rPr>
              <w:t>(23)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52" w:before="0" w:after="283"/>
              <w:jc w:val="right"/>
              <w:rPr>
                <w:rFonts w:ascii="Times New Roman;serif" w:hAnsi="Times New Roman;serif"/>
                <w:b w:val="false"/>
                <w:color w:val="000000"/>
                <w:sz w:val="20"/>
              </w:rPr>
            </w:pPr>
            <w:r>
              <w:rPr>
                <w:rFonts w:ascii="Times New Roman;serif" w:hAnsi="Times New Roman;serif"/>
                <w:b w:val="false"/>
                <w:color w:val="000000"/>
                <w:sz w:val="20"/>
              </w:rPr>
              <w:t>103 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40" w:type="dxa"/>
            <w:gridSpan w:val="3"/>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serif" w:hAnsi="Times New Roman;serif"/>
                <w:b w:val="false"/>
                <w:color w:val="000000"/>
                <w:sz w:val="20"/>
              </w:rPr>
            </w:pPr>
            <w:r>
              <w:rPr>
                <w:rFonts w:ascii="Times New Roman;serif" w:hAnsi="Times New Roman;serif"/>
                <w:b w:val="false"/>
                <w:color w:val="000000"/>
                <w:sz w:val="20"/>
              </w:rPr>
              <w:t>Accumulated deficit</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serif" w:hAnsi="Times New Roman;serif"/>
                <w:b w:val="false"/>
                <w:color w:val="000000"/>
                <w:sz w:val="20"/>
              </w:rPr>
            </w:pPr>
            <w:r>
              <w:rPr>
                <w:rFonts w:ascii="Times New Roman;serif" w:hAnsi="Times New Roman;serif"/>
                <w:b w:val="false"/>
                <w:color w:val="000000"/>
                <w:sz w:val="20"/>
              </w:rPr>
              <w:t>(621,600)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serif" w:hAnsi="Times New Roman;serif"/>
                <w:b w:val="false"/>
                <w:color w:val="000000"/>
                <w:sz w:val="20"/>
              </w:rPr>
            </w:pPr>
            <w:r>
              <w:rPr>
                <w:rFonts w:ascii="Times New Roman;serif" w:hAnsi="Times New Roman;serif"/>
                <w:b w:val="false"/>
                <w:color w:val="000000"/>
                <w:sz w:val="20"/>
              </w:rPr>
              <w:t>(596,515)</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40" w:type="dxa"/>
            <w:gridSpan w:val="3"/>
            <w:tcBorders/>
            <w:shd w:fill="CCEEFF" w:val="clear"/>
            <w:tcMar>
              <w:top w:w="0" w:type="dxa"/>
              <w:left w:w="0" w:type="dxa"/>
              <w:bottom w:w="0" w:type="dxa"/>
              <w:right w:w="0" w:type="dxa"/>
            </w:tcMar>
            <w:vAlign w:val="center"/>
          </w:tcPr>
          <w:p>
            <w:pPr>
              <w:pStyle w:val="TableContents"/>
              <w:bidi w:val="0"/>
              <w:spacing w:lineRule="auto" w:line="252" w:before="0" w:after="283"/>
              <w:jc w:val="left"/>
              <w:rPr>
                <w:rFonts w:ascii="Times New Roman;serif" w:hAnsi="Times New Roman;serif"/>
                <w:b w:val="false"/>
                <w:color w:val="000000"/>
                <w:sz w:val="20"/>
              </w:rPr>
            </w:pPr>
            <w:r>
              <w:rPr>
                <w:rFonts w:ascii="Times New Roman;serif" w:hAnsi="Times New Roman;serif"/>
                <w:b w:val="false"/>
                <w:color w:val="000000"/>
                <w:sz w:val="20"/>
              </w:rPr>
              <w:t>Total stockholders’ equity</w:t>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52" w:before="0" w:after="283"/>
              <w:jc w:val="right"/>
              <w:rPr>
                <w:rFonts w:ascii="Times New Roman;serif" w:hAnsi="Times New Roman;serif"/>
                <w:b w:val="false"/>
                <w:color w:val="000000"/>
                <w:sz w:val="20"/>
              </w:rPr>
            </w:pPr>
            <w:r>
              <w:rPr>
                <w:rFonts w:ascii="Times New Roman;serif" w:hAnsi="Times New Roman;serif"/>
                <w:b w:val="false"/>
                <w:color w:val="000000"/>
                <w:sz w:val="20"/>
              </w:rPr>
              <w:t>102,018 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52" w:before="0" w:after="283"/>
              <w:jc w:val="right"/>
              <w:rPr>
                <w:rFonts w:ascii="Times New Roman;serif" w:hAnsi="Times New Roman;serif"/>
                <w:b w:val="false"/>
                <w:color w:val="000000"/>
                <w:sz w:val="20"/>
              </w:rPr>
            </w:pPr>
            <w:r>
              <w:rPr>
                <w:rFonts w:ascii="Times New Roman;serif" w:hAnsi="Times New Roman;serif"/>
                <w:b w:val="false"/>
                <w:color w:val="000000"/>
                <w:sz w:val="20"/>
              </w:rPr>
              <w:t>122,175 </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40" w:type="dxa"/>
            <w:gridSpan w:val="3"/>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serif" w:hAnsi="Times New Roman;serif"/>
                <w:b w:val="false"/>
                <w:color w:val="000000"/>
                <w:sz w:val="20"/>
              </w:rPr>
            </w:pPr>
            <w:r>
              <w:rPr>
                <w:rFonts w:ascii="Times New Roman;serif" w:hAnsi="Times New Roman;serif"/>
                <w:b w:val="false"/>
                <w:color w:val="000000"/>
                <w:sz w:val="20"/>
              </w:rPr>
              <w:t>TOTAL LIABILITIES AND STOCKHOLDERS’ EQUITY</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52"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52" w:before="0" w:after="283"/>
              <w:jc w:val="right"/>
              <w:rPr>
                <w:rFonts w:ascii="Times New Roman;serif" w:hAnsi="Times New Roman;serif"/>
                <w:b w:val="false"/>
                <w:color w:val="000000"/>
                <w:sz w:val="20"/>
              </w:rPr>
            </w:pPr>
            <w:r>
              <w:rPr>
                <w:rFonts w:ascii="Times New Roman;serif" w:hAnsi="Times New Roman;serif"/>
                <w:b w:val="false"/>
                <w:color w:val="000000"/>
                <w:sz w:val="20"/>
              </w:rPr>
              <w:t>148,998 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52"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52" w:before="0" w:after="283"/>
              <w:jc w:val="right"/>
              <w:rPr>
                <w:rFonts w:ascii="Times New Roman;serif" w:hAnsi="Times New Roman;serif"/>
                <w:b w:val="false"/>
                <w:color w:val="000000"/>
                <w:sz w:val="20"/>
              </w:rPr>
            </w:pPr>
            <w:r>
              <w:rPr>
                <w:rFonts w:ascii="Times New Roman;serif" w:hAnsi="Times New Roman;serif"/>
                <w:b w:val="false"/>
                <w:color w:val="000000"/>
                <w:sz w:val="20"/>
              </w:rPr>
              <w:t>175,367 </w:t>
            </w:r>
          </w:p>
        </w:tc>
        <w:tc>
          <w:tcPr>
            <w:tcW w:w="15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The accompanying notes are an integral part of these unaudited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146685"/>
                <wp:effectExtent l="0" t="0" r="0" b="0"/>
                <wp:wrapNone/>
                <wp:docPr id="3" name="Frame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1</w:t>
                      </w:r>
                    </w:p>
                  </w:txbxContent>
                </v:textbox>
                <w10:wrap type="none"/>
              </v:rect>
            </w:pict>
          </mc:Fallback>
        </mc:AlternateContent>
      </w:r>
    </w:p>
    <w:p>
      <w:pPr>
        <w:pStyle w:val="TextBody"/>
        <w:bidi w:val="0"/>
        <w:spacing w:lineRule="auto" w:line="288" w:before="0" w:after="0"/>
        <w:jc w:val="left"/>
        <w:rPr/>
      </w:pPr>
      <w:hyperlink w:anchor="i7f5619487a1149c59a3dd36fee75a584_7">
        <w:r>
          <w:rPr>
            <w:rStyle w:val="InternetLink"/>
            <w:rFonts w:ascii="Times New Roman;serif" w:hAnsi="Times New Roman;serif"/>
            <w:b w:val="false"/>
            <w:color w:val="0000FF"/>
            <w:sz w:val="20"/>
            <w:u w:val="single"/>
          </w:rPr>
          <w:t>Table of Contents</w:t>
        </w:r>
      </w:hyperlink>
    </w:p>
    <w:p>
      <w:pPr>
        <w:pStyle w:val="TextBody"/>
        <w:bidi w:val="0"/>
        <w:spacing w:lineRule="auto" w:line="288" w:before="200" w:after="283"/>
        <w:jc w:val="center"/>
        <w:rPr>
          <w:rFonts w:ascii="Times New Roman;serif" w:hAnsi="Times New Roman;serif"/>
          <w:b/>
          <w:color w:val="000000"/>
          <w:sz w:val="20"/>
        </w:rPr>
      </w:pPr>
      <w:r>
        <w:rPr>
          <w:rFonts w:ascii="Times New Roman;serif" w:hAnsi="Times New Roman;serif"/>
          <w:b/>
          <w:color w:val="000000"/>
          <w:sz w:val="20"/>
        </w:rPr>
        <w:t>CARIBOU BIOSCIENCES, INC. AND ITS SUBSIDIARIES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Condensed Consolidated Statements of Operations and Comprehensive Loss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(Unaudited)</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(in thousands, except share and per share amounts)</w:t>
      </w:r>
    </w:p>
    <w:tbl>
      <w:tblPr>
        <w:tblW w:w="10205" w:type="dxa"/>
        <w:jc w:val="left"/>
        <w:tblInd w:w="0" w:type="dxa"/>
        <w:tblLayout w:type="fixed"/>
        <w:tblCellMar>
          <w:top w:w="28" w:type="dxa"/>
          <w:left w:w="28" w:type="dxa"/>
          <w:bottom w:w="28" w:type="dxa"/>
          <w:right w:w="28" w:type="dxa"/>
        </w:tblCellMar>
      </w:tblPr>
      <w:tblGrid>
        <w:gridCol w:w="2755"/>
        <w:gridCol w:w="2123"/>
        <w:gridCol w:w="2137"/>
        <w:gridCol w:w="240"/>
        <w:gridCol w:w="841"/>
        <w:gridCol w:w="109"/>
        <w:gridCol w:w="109"/>
        <w:gridCol w:w="109"/>
        <w:gridCol w:w="109"/>
        <w:gridCol w:w="240"/>
        <w:gridCol w:w="841"/>
        <w:gridCol w:w="109"/>
        <w:gridCol w:w="109"/>
        <w:gridCol w:w="109"/>
        <w:gridCol w:w="109"/>
        <w:gridCol w:w="156"/>
      </w:tblGrid>
      <w:tr>
        <w:trPr/>
        <w:tc>
          <w:tcPr>
            <w:tcW w:w="2755" w:type="dxa"/>
            <w:tcBorders/>
            <w:vAlign w:val="center"/>
          </w:tcPr>
          <w:p>
            <w:pPr>
              <w:pStyle w:val="TableContents"/>
              <w:bidi w:val="0"/>
              <w:spacing w:before="0" w:after="283"/>
              <w:jc w:val="left"/>
              <w:rPr>
                <w:sz w:val="4"/>
                <w:szCs w:val="4"/>
              </w:rPr>
            </w:pPr>
            <w:r>
              <w:rPr>
                <w:sz w:val="4"/>
                <w:szCs w:val="4"/>
              </w:rPr>
            </w:r>
          </w:p>
        </w:tc>
        <w:tc>
          <w:tcPr>
            <w:tcW w:w="2123" w:type="dxa"/>
            <w:tcBorders/>
            <w:vAlign w:val="center"/>
          </w:tcPr>
          <w:p>
            <w:pPr>
              <w:pStyle w:val="TableContents"/>
              <w:bidi w:val="0"/>
              <w:spacing w:before="0" w:after="283"/>
              <w:jc w:val="left"/>
              <w:rPr>
                <w:sz w:val="4"/>
                <w:szCs w:val="4"/>
              </w:rPr>
            </w:pPr>
            <w:r>
              <w:rPr>
                <w:sz w:val="4"/>
                <w:szCs w:val="4"/>
              </w:rPr>
            </w:r>
          </w:p>
        </w:tc>
        <w:tc>
          <w:tcPr>
            <w:tcW w:w="2137"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70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0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 March 31,</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5" w:type="dxa"/>
            <w:gridSpan w:val="2"/>
            <w:tcBorders/>
          </w:tcPr>
          <w:p>
            <w:pPr>
              <w:pStyle w:val="TableContents"/>
              <w:bidi w:val="0"/>
              <w:spacing w:before="0" w:after="283"/>
              <w:jc w:val="left"/>
              <w:rPr>
                <w:sz w:val="4"/>
                <w:szCs w:val="4"/>
              </w:rPr>
            </w:pPr>
            <w:r>
              <w:rPr>
                <w:sz w:val="4"/>
                <w:szCs w:val="4"/>
              </w:rPr>
            </w:r>
          </w:p>
        </w:tc>
      </w:tr>
      <w:tr>
        <w:trPr/>
        <w:tc>
          <w:tcPr>
            <w:tcW w:w="70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52"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52"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7015" w:type="dxa"/>
            <w:gridSpan w:val="3"/>
            <w:tcBorders/>
            <w:shd w:fill="CCEEFF" w:val="clear"/>
            <w:tcMar>
              <w:top w:w="0" w:type="dxa"/>
              <w:left w:w="0" w:type="dxa"/>
              <w:bottom w:w="0" w:type="dxa"/>
              <w:right w:w="0" w:type="dxa"/>
            </w:tcMar>
            <w:vAlign w:val="center"/>
          </w:tcPr>
          <w:p>
            <w:pPr>
              <w:pStyle w:val="TableContents"/>
              <w:bidi w:val="0"/>
              <w:spacing w:lineRule="auto" w:line="252" w:before="0" w:after="0"/>
              <w:jc w:val="left"/>
              <w:rPr>
                <w:rFonts w:ascii="Times New Roman;serif" w:hAnsi="Times New Roman;serif"/>
                <w:b w:val="false"/>
                <w:color w:val="000000"/>
                <w:sz w:val="20"/>
              </w:rPr>
            </w:pPr>
            <w:r>
              <w:rPr>
                <w:rFonts w:ascii="Times New Roman;serif" w:hAnsi="Times New Roman;serif"/>
                <w:b w:val="false"/>
                <w:color w:val="000000"/>
                <w:sz w:val="20"/>
              </w:rPr>
              <w:t>Licensing and other third-party revenue (including zero and $622 from a related party for the three months ended March 31, 2026, and March 31, 2025, respectively)</w:t>
            </w:r>
          </w:p>
        </w:tc>
        <w:tc>
          <w:tcPr>
            <w:tcW w:w="24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52"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52" w:before="0" w:after="283"/>
              <w:jc w:val="right"/>
              <w:rPr>
                <w:rFonts w:ascii="Times New Roman;serif" w:hAnsi="Times New Roman;serif"/>
                <w:b w:val="false"/>
                <w:color w:val="000000"/>
                <w:sz w:val="20"/>
              </w:rPr>
            </w:pPr>
            <w:r>
              <w:rPr>
                <w:rFonts w:ascii="Times New Roman;serif" w:hAnsi="Times New Roman;serif"/>
                <w:b w:val="false"/>
                <w:color w:val="000000"/>
                <w:sz w:val="20"/>
              </w:rPr>
              <w:t>2,397 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52"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52" w:before="0" w:after="283"/>
              <w:jc w:val="right"/>
              <w:rPr>
                <w:rFonts w:ascii="Times New Roman;serif" w:hAnsi="Times New Roman;serif"/>
                <w:b w:val="false"/>
                <w:color w:val="000000"/>
                <w:sz w:val="20"/>
              </w:rPr>
            </w:pPr>
            <w:r>
              <w:rPr>
                <w:rFonts w:ascii="Times New Roman;serif" w:hAnsi="Times New Roman;serif"/>
                <w:b w:val="false"/>
                <w:color w:val="000000"/>
                <w:sz w:val="20"/>
              </w:rPr>
              <w:t>2,353 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7015" w:type="dxa"/>
            <w:gridSpan w:val="3"/>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expenses:</w:t>
            </w:r>
          </w:p>
        </w:tc>
        <w:tc>
          <w:tcPr>
            <w:tcW w:w="11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7015" w:type="dxa"/>
            <w:gridSpan w:val="3"/>
            <w:tcBorders/>
            <w:shd w:fill="CCEEFF" w:val="clear"/>
            <w:tcMar>
              <w:top w:w="0" w:type="dxa"/>
              <w:left w:w="0" w:type="dxa"/>
              <w:bottom w:w="0" w:type="dxa"/>
              <w:right w:w="0" w:type="dxa"/>
            </w:tcMar>
            <w:vAlign w:val="center"/>
          </w:tcPr>
          <w:p>
            <w:pPr>
              <w:pStyle w:val="TableContents"/>
              <w:bidi w:val="0"/>
              <w:spacing w:lineRule="auto" w:line="252" w:before="0" w:after="283"/>
              <w:jc w:val="left"/>
              <w:rPr>
                <w:rFonts w:ascii="Times New Roman;serif" w:hAnsi="Times New Roman;serif"/>
                <w:b w:val="false"/>
                <w:color w:val="000000"/>
                <w:sz w:val="20"/>
              </w:rPr>
            </w:pPr>
            <w:r>
              <w:rPr>
                <w:rFonts w:ascii="Times New Roman;serif" w:hAnsi="Times New Roman;serif"/>
                <w:b w:val="false"/>
                <w:color w:val="000000"/>
                <w:sz w:val="20"/>
              </w:rPr>
              <w:t>Research and development</w:t>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52" w:before="0" w:after="283"/>
              <w:jc w:val="right"/>
              <w:rPr>
                <w:rFonts w:ascii="Times New Roman;serif" w:hAnsi="Times New Roman;serif"/>
                <w:b w:val="false"/>
                <w:color w:val="000000"/>
                <w:sz w:val="20"/>
              </w:rPr>
            </w:pPr>
            <w:r>
              <w:rPr>
                <w:rFonts w:ascii="Times New Roman;serif" w:hAnsi="Times New Roman;serif"/>
                <w:b w:val="false"/>
                <w:color w:val="000000"/>
                <w:sz w:val="20"/>
              </w:rPr>
              <w:t>20,611 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52" w:before="0" w:after="283"/>
              <w:jc w:val="right"/>
              <w:rPr>
                <w:rFonts w:ascii="Times New Roman;serif" w:hAnsi="Times New Roman;serif"/>
                <w:b w:val="false"/>
                <w:color w:val="000000"/>
                <w:sz w:val="20"/>
              </w:rPr>
            </w:pPr>
            <w:r>
              <w:rPr>
                <w:rFonts w:ascii="Times New Roman;serif" w:hAnsi="Times New Roman;serif"/>
                <w:b w:val="false"/>
                <w:color w:val="000000"/>
                <w:sz w:val="20"/>
              </w:rPr>
              <w:t>35,531 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7015" w:type="dxa"/>
            <w:gridSpan w:val="3"/>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serif" w:hAnsi="Times New Roman;serif"/>
                <w:b w:val="false"/>
                <w:color w:val="000000"/>
                <w:sz w:val="20"/>
              </w:rPr>
            </w:pPr>
            <w:r>
              <w:rPr>
                <w:rFonts w:ascii="Times New Roman;serif" w:hAnsi="Times New Roman;serif"/>
                <w:b w:val="false"/>
                <w:color w:val="000000"/>
                <w:sz w:val="20"/>
              </w:rPr>
              <w:t>General and administrative</w:t>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serif" w:hAnsi="Times New Roman;serif"/>
                <w:b w:val="false"/>
                <w:color w:val="000000"/>
                <w:sz w:val="20"/>
              </w:rPr>
            </w:pPr>
            <w:r>
              <w:rPr>
                <w:rFonts w:ascii="Times New Roman;serif" w:hAnsi="Times New Roman;serif"/>
                <w:b w:val="false"/>
                <w:color w:val="000000"/>
                <w:sz w:val="20"/>
              </w:rPr>
              <w:t>8,066 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serif" w:hAnsi="Times New Roman;serif"/>
                <w:b w:val="false"/>
                <w:color w:val="000000"/>
                <w:sz w:val="20"/>
              </w:rPr>
            </w:pPr>
            <w:r>
              <w:rPr>
                <w:rFonts w:ascii="Times New Roman;serif" w:hAnsi="Times New Roman;serif"/>
                <w:b w:val="false"/>
                <w:color w:val="000000"/>
                <w:sz w:val="20"/>
              </w:rPr>
              <w:t>9,735 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7015" w:type="dxa"/>
            <w:gridSpan w:val="3"/>
            <w:tcBorders/>
            <w:shd w:fill="CCEEFF" w:val="clear"/>
            <w:tcMar>
              <w:top w:w="0" w:type="dxa"/>
              <w:left w:w="0" w:type="dxa"/>
              <w:bottom w:w="0" w:type="dxa"/>
              <w:right w:w="0" w:type="dxa"/>
            </w:tcMar>
            <w:vAlign w:val="center"/>
          </w:tcPr>
          <w:p>
            <w:pPr>
              <w:pStyle w:val="TableContents"/>
              <w:bidi w:val="0"/>
              <w:spacing w:lineRule="auto" w:line="252" w:before="0" w:after="283"/>
              <w:jc w:val="left"/>
              <w:rPr>
                <w:rFonts w:ascii="Times New Roman;serif" w:hAnsi="Times New Roman;serif"/>
                <w:b w:val="false"/>
                <w:color w:val="000000"/>
                <w:sz w:val="20"/>
              </w:rPr>
            </w:pPr>
            <w:r>
              <w:rPr>
                <w:rFonts w:ascii="Times New Roman;serif" w:hAnsi="Times New Roman;serif"/>
                <w:b w:val="false"/>
                <w:color w:val="000000"/>
                <w:sz w:val="20"/>
              </w:rPr>
              <w:t>Total operating expenses</w:t>
            </w:r>
          </w:p>
        </w:tc>
        <w:tc>
          <w:tcPr>
            <w:tcW w:w="108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52" w:before="0" w:after="283"/>
              <w:jc w:val="right"/>
              <w:rPr>
                <w:rFonts w:ascii="Times New Roman;serif" w:hAnsi="Times New Roman;serif"/>
                <w:b w:val="false"/>
                <w:color w:val="000000"/>
                <w:sz w:val="20"/>
              </w:rPr>
            </w:pPr>
            <w:r>
              <w:rPr>
                <w:rFonts w:ascii="Times New Roman;serif" w:hAnsi="Times New Roman;serif"/>
                <w:b w:val="false"/>
                <w:color w:val="000000"/>
                <w:sz w:val="20"/>
              </w:rPr>
              <w:t>28,677 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52" w:before="0" w:after="283"/>
              <w:jc w:val="right"/>
              <w:rPr>
                <w:rFonts w:ascii="Times New Roman;serif" w:hAnsi="Times New Roman;serif"/>
                <w:b w:val="false"/>
                <w:color w:val="000000"/>
                <w:sz w:val="20"/>
              </w:rPr>
            </w:pPr>
            <w:r>
              <w:rPr>
                <w:rFonts w:ascii="Times New Roman;serif" w:hAnsi="Times New Roman;serif"/>
                <w:b w:val="false"/>
                <w:color w:val="000000"/>
                <w:sz w:val="20"/>
              </w:rPr>
              <w:t>45,266 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7015" w:type="dxa"/>
            <w:gridSpan w:val="3"/>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serif" w:hAnsi="Times New Roman;serif"/>
                <w:b w:val="false"/>
                <w:color w:val="000000"/>
                <w:sz w:val="20"/>
              </w:rPr>
            </w:pPr>
            <w:r>
              <w:rPr>
                <w:rFonts w:ascii="Times New Roman;serif" w:hAnsi="Times New Roman;serif"/>
                <w:b w:val="false"/>
                <w:color w:val="000000"/>
                <w:sz w:val="20"/>
              </w:rPr>
              <w:t>Loss from operations</w:t>
            </w:r>
          </w:p>
        </w:tc>
        <w:tc>
          <w:tcPr>
            <w:tcW w:w="108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52" w:before="0" w:after="283"/>
              <w:jc w:val="right"/>
              <w:rPr>
                <w:rFonts w:ascii="Times New Roman;serif" w:hAnsi="Times New Roman;serif"/>
                <w:b w:val="false"/>
                <w:color w:val="000000"/>
                <w:sz w:val="20"/>
              </w:rPr>
            </w:pPr>
            <w:r>
              <w:rPr>
                <w:rFonts w:ascii="Times New Roman;serif" w:hAnsi="Times New Roman;serif"/>
                <w:b w:val="false"/>
                <w:color w:val="000000"/>
                <w:sz w:val="20"/>
              </w:rPr>
              <w:t>(26,280)</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52" w:before="0" w:after="283"/>
              <w:jc w:val="right"/>
              <w:rPr>
                <w:rFonts w:ascii="Times New Roman;serif" w:hAnsi="Times New Roman;serif"/>
                <w:b w:val="false"/>
                <w:color w:val="000000"/>
                <w:sz w:val="20"/>
              </w:rPr>
            </w:pPr>
            <w:r>
              <w:rPr>
                <w:rFonts w:ascii="Times New Roman;serif" w:hAnsi="Times New Roman;serif"/>
                <w:b w:val="false"/>
                <w:color w:val="000000"/>
                <w:sz w:val="20"/>
              </w:rPr>
              <w:t>(42,913)</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7015" w:type="dxa"/>
            <w:gridSpan w:val="3"/>
            <w:tcBorders/>
            <w:shd w:fill="CCEEFF" w:val="clear"/>
            <w:tcMar>
              <w:top w:w="0" w:type="dxa"/>
              <w:left w:w="0" w:type="dxa"/>
              <w:bottom w:w="0" w:type="dxa"/>
              <w:right w:w="0" w:type="dxa"/>
            </w:tcMar>
            <w:vAlign w:val="center"/>
          </w:tcPr>
          <w:p>
            <w:pPr>
              <w:pStyle w:val="TableContents"/>
              <w:bidi w:val="0"/>
              <w:spacing w:lineRule="auto" w:line="252" w:before="0" w:after="283"/>
              <w:jc w:val="left"/>
              <w:rPr>
                <w:rFonts w:ascii="Times New Roman;serif" w:hAnsi="Times New Roman;serif"/>
                <w:b w:val="false"/>
                <w:color w:val="000000"/>
                <w:sz w:val="20"/>
              </w:rPr>
            </w:pPr>
            <w:r>
              <w:rPr>
                <w:rFonts w:ascii="Times New Roman;serif" w:hAnsi="Times New Roman;serif"/>
                <w:b w:val="false"/>
                <w:color w:val="000000"/>
                <w:sz w:val="20"/>
              </w:rPr>
              <w:t>Other income</w:t>
            </w:r>
          </w:p>
        </w:tc>
        <w:tc>
          <w:tcPr>
            <w:tcW w:w="11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7015" w:type="dxa"/>
            <w:gridSpan w:val="3"/>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serif" w:hAnsi="Times New Roman;serif"/>
                <w:b w:val="false"/>
                <w:color w:val="000000"/>
                <w:sz w:val="20"/>
              </w:rPr>
            </w:pPr>
            <w:r>
              <w:rPr>
                <w:rFonts w:ascii="Times New Roman;serif" w:hAnsi="Times New Roman;serif"/>
                <w:b w:val="false"/>
                <w:color w:val="000000"/>
                <w:sz w:val="20"/>
              </w:rPr>
              <w:t>Other income, net</w:t>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serif" w:hAnsi="Times New Roman;serif"/>
                <w:b w:val="false"/>
                <w:color w:val="000000"/>
                <w:sz w:val="20"/>
              </w:rPr>
            </w:pPr>
            <w:r>
              <w:rPr>
                <w:rFonts w:ascii="Times New Roman;serif" w:hAnsi="Times New Roman;serif"/>
                <w:b w:val="false"/>
                <w:color w:val="000000"/>
                <w:sz w:val="20"/>
              </w:rPr>
              <w:t>1,195 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serif" w:hAnsi="Times New Roman;serif"/>
                <w:b w:val="false"/>
                <w:color w:val="000000"/>
                <w:sz w:val="20"/>
              </w:rPr>
            </w:pPr>
            <w:r>
              <w:rPr>
                <w:rFonts w:ascii="Times New Roman;serif" w:hAnsi="Times New Roman;serif"/>
                <w:b w:val="false"/>
                <w:color w:val="000000"/>
                <w:sz w:val="20"/>
              </w:rPr>
              <w:t>2,922 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7015" w:type="dxa"/>
            <w:gridSpan w:val="3"/>
            <w:tcBorders/>
            <w:shd w:fill="CCEEFF" w:val="clear"/>
            <w:tcMar>
              <w:top w:w="0" w:type="dxa"/>
              <w:left w:w="0" w:type="dxa"/>
              <w:bottom w:w="0" w:type="dxa"/>
              <w:right w:w="0" w:type="dxa"/>
            </w:tcMar>
            <w:vAlign w:val="center"/>
          </w:tcPr>
          <w:p>
            <w:pPr>
              <w:pStyle w:val="TableContents"/>
              <w:bidi w:val="0"/>
              <w:spacing w:lineRule="auto" w:line="252" w:before="0" w:after="283"/>
              <w:jc w:val="left"/>
              <w:rPr>
                <w:rFonts w:ascii="Times New Roman;serif" w:hAnsi="Times New Roman;serif"/>
                <w:b w:val="false"/>
                <w:color w:val="000000"/>
                <w:sz w:val="20"/>
              </w:rPr>
            </w:pPr>
            <w:r>
              <w:rPr>
                <w:rFonts w:ascii="Times New Roman;serif" w:hAnsi="Times New Roman;serif"/>
                <w:b w:val="false"/>
                <w:color w:val="000000"/>
                <w:sz w:val="20"/>
              </w:rPr>
              <w:t>Total other income</w:t>
            </w:r>
          </w:p>
        </w:tc>
        <w:tc>
          <w:tcPr>
            <w:tcW w:w="108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52" w:before="0" w:after="283"/>
              <w:jc w:val="right"/>
              <w:rPr>
                <w:rFonts w:ascii="Times New Roman;serif" w:hAnsi="Times New Roman;serif"/>
                <w:b w:val="false"/>
                <w:color w:val="000000"/>
                <w:sz w:val="20"/>
              </w:rPr>
            </w:pPr>
            <w:r>
              <w:rPr>
                <w:rFonts w:ascii="Times New Roman;serif" w:hAnsi="Times New Roman;serif"/>
                <w:b w:val="false"/>
                <w:color w:val="000000"/>
                <w:sz w:val="20"/>
              </w:rPr>
              <w:t>1,195 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52" w:before="0" w:after="283"/>
              <w:jc w:val="right"/>
              <w:rPr>
                <w:rFonts w:ascii="Times New Roman;serif" w:hAnsi="Times New Roman;serif"/>
                <w:b w:val="false"/>
                <w:color w:val="000000"/>
                <w:sz w:val="20"/>
              </w:rPr>
            </w:pPr>
            <w:r>
              <w:rPr>
                <w:rFonts w:ascii="Times New Roman;serif" w:hAnsi="Times New Roman;serif"/>
                <w:b w:val="false"/>
                <w:color w:val="000000"/>
                <w:sz w:val="20"/>
              </w:rPr>
              <w:t>2,922 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7015" w:type="dxa"/>
            <w:gridSpan w:val="3"/>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serif" w:hAnsi="Times New Roman;serif"/>
                <w:b w:val="false"/>
                <w:color w:val="000000"/>
                <w:sz w:val="20"/>
              </w:rPr>
            </w:pPr>
            <w:r>
              <w:rPr>
                <w:rFonts w:ascii="Times New Roman;serif" w:hAnsi="Times New Roman;serif"/>
                <w:b w:val="false"/>
                <w:color w:val="000000"/>
                <w:sz w:val="20"/>
              </w:rPr>
              <w:t>Net loss</w:t>
            </w:r>
          </w:p>
        </w:tc>
        <w:tc>
          <w:tcPr>
            <w:tcW w:w="108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52" w:before="0" w:after="283"/>
              <w:jc w:val="right"/>
              <w:rPr>
                <w:rFonts w:ascii="Times New Roman;serif" w:hAnsi="Times New Roman;serif"/>
                <w:b w:val="false"/>
                <w:color w:val="000000"/>
                <w:sz w:val="20"/>
              </w:rPr>
            </w:pPr>
            <w:r>
              <w:rPr>
                <w:rFonts w:ascii="Times New Roman;serif" w:hAnsi="Times New Roman;serif"/>
                <w:b w:val="false"/>
                <w:color w:val="000000"/>
                <w:sz w:val="20"/>
              </w:rPr>
              <w:t>(25,085)</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52" w:before="0" w:after="283"/>
              <w:jc w:val="right"/>
              <w:rPr>
                <w:rFonts w:ascii="Times New Roman;serif" w:hAnsi="Times New Roman;serif"/>
                <w:b w:val="false"/>
                <w:color w:val="000000"/>
                <w:sz w:val="20"/>
              </w:rPr>
            </w:pPr>
            <w:r>
              <w:rPr>
                <w:rFonts w:ascii="Times New Roman;serif" w:hAnsi="Times New Roman;serif"/>
                <w:b w:val="false"/>
                <w:color w:val="000000"/>
                <w:sz w:val="20"/>
              </w:rPr>
              <w:t>(39,991)</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7015" w:type="dxa"/>
            <w:gridSpan w:val="3"/>
            <w:tcBorders/>
            <w:shd w:fill="CCEEFF" w:val="clear"/>
            <w:tcMar>
              <w:top w:w="0" w:type="dxa"/>
              <w:left w:w="0" w:type="dxa"/>
              <w:bottom w:w="0" w:type="dxa"/>
              <w:right w:w="0" w:type="dxa"/>
            </w:tcMar>
            <w:vAlign w:val="center"/>
          </w:tcPr>
          <w:p>
            <w:pPr>
              <w:pStyle w:val="TableContents"/>
              <w:bidi w:val="0"/>
              <w:spacing w:lineRule="auto" w:line="252" w:before="0" w:after="283"/>
              <w:jc w:val="left"/>
              <w:rPr>
                <w:rFonts w:ascii="Times New Roman;serif" w:hAnsi="Times New Roman;serif"/>
                <w:b w:val="false"/>
                <w:color w:val="000000"/>
                <w:sz w:val="20"/>
              </w:rPr>
            </w:pPr>
            <w:r>
              <w:rPr>
                <w:rFonts w:ascii="Times New Roman;serif" w:hAnsi="Times New Roman;serif"/>
                <w:b w:val="false"/>
                <w:color w:val="000000"/>
                <w:sz w:val="20"/>
              </w:rPr>
              <w:t>Other comprehensive loss</w:t>
            </w:r>
          </w:p>
        </w:tc>
        <w:tc>
          <w:tcPr>
            <w:tcW w:w="119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7015" w:type="dxa"/>
            <w:gridSpan w:val="3"/>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serif" w:hAnsi="Times New Roman;serif"/>
                <w:b w:val="false"/>
                <w:color w:val="000000"/>
                <w:sz w:val="20"/>
              </w:rPr>
            </w:pPr>
            <w:r>
              <w:rPr>
                <w:rFonts w:ascii="Times New Roman;serif" w:hAnsi="Times New Roman;serif"/>
                <w:b w:val="false"/>
                <w:color w:val="000000"/>
                <w:sz w:val="20"/>
              </w:rPr>
              <w:t>Net unrealized loss on available-for-sale marketable securities, net of tax</w:t>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serif" w:hAnsi="Times New Roman;serif"/>
                <w:b w:val="false"/>
                <w:color w:val="000000"/>
                <w:sz w:val="20"/>
              </w:rPr>
            </w:pPr>
            <w:r>
              <w:rPr>
                <w:rFonts w:ascii="Times New Roman;serif" w:hAnsi="Times New Roman;serif"/>
                <w:b w:val="false"/>
                <w:color w:val="000000"/>
                <w:sz w:val="20"/>
              </w:rPr>
              <w:t>(126)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serif" w:hAnsi="Times New Roman;serif"/>
                <w:b w:val="false"/>
                <w:color w:val="000000"/>
                <w:sz w:val="20"/>
              </w:rPr>
            </w:pPr>
            <w:r>
              <w:rPr>
                <w:rFonts w:ascii="Times New Roman;serif" w:hAnsi="Times New Roman;serif"/>
                <w:b w:val="false"/>
                <w:color w:val="000000"/>
                <w:sz w:val="20"/>
              </w:rPr>
              <w:t>(88)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7015" w:type="dxa"/>
            <w:gridSpan w:val="3"/>
            <w:tcBorders/>
            <w:shd w:fill="CCEEFF" w:val="clear"/>
            <w:tcMar>
              <w:top w:w="0" w:type="dxa"/>
              <w:left w:w="0" w:type="dxa"/>
              <w:bottom w:w="0" w:type="dxa"/>
              <w:right w:w="0" w:type="dxa"/>
            </w:tcMar>
            <w:vAlign w:val="center"/>
          </w:tcPr>
          <w:p>
            <w:pPr>
              <w:pStyle w:val="TableContents"/>
              <w:bidi w:val="0"/>
              <w:spacing w:lineRule="auto" w:line="252" w:before="0" w:after="283"/>
              <w:jc w:val="left"/>
              <w:rPr>
                <w:rFonts w:ascii="Times New Roman;serif" w:hAnsi="Times New Roman;serif"/>
                <w:b w:val="false"/>
                <w:color w:val="000000"/>
                <w:sz w:val="20"/>
              </w:rPr>
            </w:pPr>
            <w:r>
              <w:rPr>
                <w:rFonts w:ascii="Times New Roman;serif" w:hAnsi="Times New Roman;serif"/>
                <w:b w:val="false"/>
                <w:color w:val="000000"/>
                <w:sz w:val="20"/>
              </w:rPr>
              <w:t>Net comprehensive loss</w:t>
            </w:r>
          </w:p>
        </w:tc>
        <w:tc>
          <w:tcPr>
            <w:tcW w:w="24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52"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52" w:before="0" w:after="283"/>
              <w:jc w:val="right"/>
              <w:rPr>
                <w:rFonts w:ascii="Times New Roman;serif" w:hAnsi="Times New Roman;serif"/>
                <w:b w:val="false"/>
                <w:color w:val="000000"/>
                <w:sz w:val="20"/>
              </w:rPr>
            </w:pPr>
            <w:r>
              <w:rPr>
                <w:rFonts w:ascii="Times New Roman;serif" w:hAnsi="Times New Roman;serif"/>
                <w:b w:val="false"/>
                <w:color w:val="000000"/>
                <w:sz w:val="20"/>
              </w:rPr>
              <w:t>(25,211)</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52"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52" w:before="0" w:after="283"/>
              <w:jc w:val="right"/>
              <w:rPr>
                <w:rFonts w:ascii="Times New Roman;serif" w:hAnsi="Times New Roman;serif"/>
                <w:b w:val="false"/>
                <w:color w:val="000000"/>
                <w:sz w:val="20"/>
              </w:rPr>
            </w:pPr>
            <w:r>
              <w:rPr>
                <w:rFonts w:ascii="Times New Roman;serif" w:hAnsi="Times New Roman;serif"/>
                <w:b w:val="false"/>
                <w:color w:val="000000"/>
                <w:sz w:val="20"/>
              </w:rPr>
              <w:t>(40,079)</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7015" w:type="dxa"/>
            <w:gridSpan w:val="3"/>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serif" w:hAnsi="Times New Roman;serif"/>
                <w:b w:val="false"/>
                <w:color w:val="000000"/>
                <w:sz w:val="20"/>
              </w:rPr>
            </w:pPr>
            <w:r>
              <w:rPr>
                <w:rFonts w:ascii="Times New Roman;serif" w:hAnsi="Times New Roman;serif"/>
                <w:b w:val="false"/>
                <w:color w:val="000000"/>
                <w:sz w:val="20"/>
              </w:rPr>
              <w:t>Net loss per share, basic and diluted</w:t>
            </w:r>
          </w:p>
        </w:tc>
        <w:tc>
          <w:tcPr>
            <w:tcW w:w="240"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52"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52" w:before="0" w:after="283"/>
              <w:jc w:val="right"/>
              <w:rPr>
                <w:rFonts w:ascii="Times New Roman;serif" w:hAnsi="Times New Roman;serif"/>
                <w:b w:val="false"/>
                <w:color w:val="000000"/>
                <w:sz w:val="20"/>
              </w:rPr>
            </w:pPr>
            <w:r>
              <w:rPr>
                <w:rFonts w:ascii="Times New Roman;serif" w:hAnsi="Times New Roman;serif"/>
                <w:b w:val="false"/>
                <w:color w:val="000000"/>
                <w:sz w:val="20"/>
              </w:rPr>
              <w:t>(0.26)</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52"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52" w:before="0" w:after="283"/>
              <w:jc w:val="right"/>
              <w:rPr>
                <w:rFonts w:ascii="Times New Roman;serif" w:hAnsi="Times New Roman;serif"/>
                <w:b w:val="false"/>
                <w:color w:val="000000"/>
                <w:sz w:val="20"/>
              </w:rPr>
            </w:pPr>
            <w:r>
              <w:rPr>
                <w:rFonts w:ascii="Times New Roman;serif" w:hAnsi="Times New Roman;serif"/>
                <w:b w:val="false"/>
                <w:color w:val="000000"/>
                <w:sz w:val="20"/>
              </w:rPr>
              <w:t>(0.43)</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7015" w:type="dxa"/>
            <w:gridSpan w:val="3"/>
            <w:tcBorders/>
            <w:shd w:fill="CCEEFF" w:val="clear"/>
            <w:tcMar>
              <w:top w:w="0" w:type="dxa"/>
              <w:left w:w="0" w:type="dxa"/>
              <w:bottom w:w="0" w:type="dxa"/>
              <w:right w:w="0" w:type="dxa"/>
            </w:tcMar>
            <w:vAlign w:val="center"/>
          </w:tcPr>
          <w:p>
            <w:pPr>
              <w:pStyle w:val="TableContents"/>
              <w:bidi w:val="0"/>
              <w:spacing w:lineRule="auto" w:line="252" w:before="0" w:after="283"/>
              <w:jc w:val="left"/>
              <w:rPr>
                <w:rFonts w:ascii="Times New Roman;serif" w:hAnsi="Times New Roman;serif"/>
                <w:b w:val="false"/>
                <w:color w:val="000000"/>
                <w:sz w:val="20"/>
              </w:rPr>
            </w:pPr>
            <w:r>
              <w:rPr>
                <w:rFonts w:ascii="Times New Roman;serif" w:hAnsi="Times New Roman;serif"/>
                <w:b w:val="false"/>
                <w:color w:val="000000"/>
                <w:sz w:val="20"/>
              </w:rPr>
              <w:t>Weighted-average common shares outstanding, basic and diluted</w:t>
            </w:r>
          </w:p>
        </w:tc>
        <w:tc>
          <w:tcPr>
            <w:tcW w:w="1081" w:type="dxa"/>
            <w:gridSpan w:val="2"/>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95,861,716 </w:t>
            </w:r>
          </w:p>
        </w:tc>
        <w:tc>
          <w:tcPr>
            <w:tcW w:w="109"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92,679,493 </w:t>
            </w:r>
          </w:p>
        </w:tc>
        <w:tc>
          <w:tcPr>
            <w:tcW w:w="109"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The accompanying notes are an integral part of these unaudited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146685"/>
                <wp:effectExtent l="0" t="0" r="0" b="0"/>
                <wp:wrapNone/>
                <wp:docPr id="4" name="Frame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2</w:t>
                      </w:r>
                    </w:p>
                  </w:txbxContent>
                </v:textbox>
                <w10:wrap type="none"/>
              </v:rect>
            </w:pict>
          </mc:Fallback>
        </mc:AlternateContent>
      </w:r>
    </w:p>
    <w:p>
      <w:pPr>
        <w:pStyle w:val="TextBody"/>
        <w:bidi w:val="0"/>
        <w:spacing w:lineRule="auto" w:line="288" w:before="0" w:after="0"/>
        <w:jc w:val="left"/>
        <w:rPr/>
      </w:pPr>
      <w:hyperlink w:anchor="i7f5619487a1149c59a3dd36fee75a584_7">
        <w:r>
          <w:rPr>
            <w:rStyle w:val="InternetLink"/>
            <w:rFonts w:ascii="Times New Roman;serif" w:hAnsi="Times New Roman;serif"/>
            <w:b w:val="false"/>
            <w:color w:val="0000FF"/>
            <w:sz w:val="20"/>
            <w:u w:val="single"/>
          </w:rPr>
          <w:t>Table of Contents</w:t>
        </w:r>
      </w:hyperlink>
    </w:p>
    <w:p>
      <w:pPr>
        <w:pStyle w:val="TextBody"/>
        <w:bidi w:val="0"/>
        <w:spacing w:lineRule="auto" w:line="288" w:before="200" w:after="283"/>
        <w:jc w:val="center"/>
        <w:rPr>
          <w:rFonts w:ascii="Times New Roman;serif" w:hAnsi="Times New Roman;serif"/>
          <w:b/>
          <w:color w:val="000000"/>
          <w:sz w:val="20"/>
        </w:rPr>
      </w:pPr>
      <w:r>
        <w:rPr>
          <w:rFonts w:ascii="Times New Roman;serif" w:hAnsi="Times New Roman;serif"/>
          <w:b/>
          <w:color w:val="000000"/>
          <w:sz w:val="20"/>
        </w:rPr>
        <w:t>CARIBOU BIOSCIENCES, INC. AND ITS SUBSIDIARIES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Condensed Consolidated Statements of Stockholders’ Equity</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(Unaudited)</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(in thousands, except share amounts)</w:t>
      </w:r>
    </w:p>
    <w:tbl>
      <w:tblPr>
        <w:tblW w:w="10205" w:type="dxa"/>
        <w:jc w:val="left"/>
        <w:tblInd w:w="0" w:type="dxa"/>
        <w:tblLayout w:type="fixed"/>
        <w:tblCellMar>
          <w:top w:w="28" w:type="dxa"/>
          <w:left w:w="28" w:type="dxa"/>
          <w:bottom w:w="28" w:type="dxa"/>
          <w:right w:w="28" w:type="dxa"/>
        </w:tblCellMar>
      </w:tblPr>
      <w:tblGrid>
        <w:gridCol w:w="892"/>
        <w:gridCol w:w="722"/>
        <w:gridCol w:w="724"/>
        <w:gridCol w:w="254"/>
        <w:gridCol w:w="254"/>
        <w:gridCol w:w="258"/>
        <w:gridCol w:w="109"/>
        <w:gridCol w:w="109"/>
        <w:gridCol w:w="109"/>
        <w:gridCol w:w="181"/>
        <w:gridCol w:w="286"/>
        <w:gridCol w:w="109"/>
        <w:gridCol w:w="109"/>
        <w:gridCol w:w="109"/>
        <w:gridCol w:w="109"/>
        <w:gridCol w:w="202"/>
        <w:gridCol w:w="688"/>
        <w:gridCol w:w="121"/>
        <w:gridCol w:w="109"/>
        <w:gridCol w:w="109"/>
        <w:gridCol w:w="109"/>
        <w:gridCol w:w="471"/>
        <w:gridCol w:w="943"/>
        <w:gridCol w:w="286"/>
        <w:gridCol w:w="109"/>
        <w:gridCol w:w="109"/>
        <w:gridCol w:w="109"/>
        <w:gridCol w:w="181"/>
        <w:gridCol w:w="645"/>
        <w:gridCol w:w="109"/>
        <w:gridCol w:w="109"/>
        <w:gridCol w:w="109"/>
        <w:gridCol w:w="109"/>
        <w:gridCol w:w="234"/>
        <w:gridCol w:w="801"/>
        <w:gridCol w:w="209"/>
      </w:tblGrid>
      <w:tr>
        <w:trPr/>
        <w:tc>
          <w:tcPr>
            <w:tcW w:w="892" w:type="dxa"/>
            <w:tcBorders/>
            <w:vAlign w:val="center"/>
          </w:tcPr>
          <w:p>
            <w:pPr>
              <w:pStyle w:val="TableContents"/>
              <w:bidi w:val="0"/>
              <w:spacing w:before="0" w:after="283"/>
              <w:jc w:val="left"/>
              <w:rPr>
                <w:sz w:val="4"/>
                <w:szCs w:val="4"/>
              </w:rPr>
            </w:pPr>
            <w:r>
              <w:rPr>
                <w:sz w:val="4"/>
                <w:szCs w:val="4"/>
              </w:rPr>
            </w:r>
          </w:p>
        </w:tc>
        <w:tc>
          <w:tcPr>
            <w:tcW w:w="722" w:type="dxa"/>
            <w:tcBorders/>
            <w:vAlign w:val="center"/>
          </w:tcPr>
          <w:p>
            <w:pPr>
              <w:pStyle w:val="TableContents"/>
              <w:bidi w:val="0"/>
              <w:spacing w:before="0" w:after="283"/>
              <w:jc w:val="left"/>
              <w:rPr>
                <w:sz w:val="4"/>
                <w:szCs w:val="4"/>
              </w:rPr>
            </w:pPr>
            <w:r>
              <w:rPr>
                <w:sz w:val="4"/>
                <w:szCs w:val="4"/>
              </w:rPr>
            </w:r>
          </w:p>
        </w:tc>
        <w:tc>
          <w:tcPr>
            <w:tcW w:w="724" w:type="dxa"/>
            <w:tcBorders/>
            <w:vAlign w:val="center"/>
          </w:tcPr>
          <w:p>
            <w:pPr>
              <w:pStyle w:val="TableContents"/>
              <w:bidi w:val="0"/>
              <w:spacing w:before="0" w:after="283"/>
              <w:jc w:val="left"/>
              <w:rPr>
                <w:sz w:val="4"/>
                <w:szCs w:val="4"/>
              </w:rPr>
            </w:pPr>
            <w:r>
              <w:rPr>
                <w:sz w:val="4"/>
                <w:szCs w:val="4"/>
              </w:rPr>
            </w:r>
          </w:p>
        </w:tc>
        <w:tc>
          <w:tcPr>
            <w:tcW w:w="254" w:type="dxa"/>
            <w:tcBorders/>
            <w:vAlign w:val="center"/>
          </w:tcPr>
          <w:p>
            <w:pPr>
              <w:pStyle w:val="TableContents"/>
              <w:bidi w:val="0"/>
              <w:spacing w:before="0" w:after="283"/>
              <w:jc w:val="left"/>
              <w:rPr>
                <w:sz w:val="4"/>
                <w:szCs w:val="4"/>
              </w:rPr>
            </w:pPr>
            <w:r>
              <w:rPr>
                <w:sz w:val="4"/>
                <w:szCs w:val="4"/>
              </w:rPr>
            </w:r>
          </w:p>
        </w:tc>
        <w:tc>
          <w:tcPr>
            <w:tcW w:w="254"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sz w:val="4"/>
                <w:szCs w:val="4"/>
              </w:rPr>
            </w:pPr>
            <w:r>
              <w:rPr>
                <w:sz w:val="4"/>
                <w:szCs w:val="4"/>
              </w:rPr>
            </w:r>
          </w:p>
        </w:tc>
        <w:tc>
          <w:tcPr>
            <w:tcW w:w="688"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71" w:type="dxa"/>
            <w:tcBorders/>
            <w:vAlign w:val="center"/>
          </w:tcPr>
          <w:p>
            <w:pPr>
              <w:pStyle w:val="TableContents"/>
              <w:bidi w:val="0"/>
              <w:spacing w:before="0" w:after="283"/>
              <w:jc w:val="left"/>
              <w:rPr>
                <w:sz w:val="4"/>
                <w:szCs w:val="4"/>
              </w:rPr>
            </w:pPr>
            <w:r>
              <w:rPr>
                <w:sz w:val="4"/>
                <w:szCs w:val="4"/>
              </w:rPr>
            </w:r>
          </w:p>
        </w:tc>
        <w:tc>
          <w:tcPr>
            <w:tcW w:w="943"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64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801" w:type="dxa"/>
            <w:tcBorders/>
            <w:vAlign w:val="center"/>
          </w:tcPr>
          <w:p>
            <w:pPr>
              <w:pStyle w:val="TableContents"/>
              <w:bidi w:val="0"/>
              <w:spacing w:before="0" w:after="283"/>
              <w:jc w:val="left"/>
              <w:rPr>
                <w:sz w:val="4"/>
                <w:szCs w:val="4"/>
              </w:rPr>
            </w:pPr>
            <w:r>
              <w:rPr>
                <w:sz w:val="4"/>
                <w:szCs w:val="4"/>
              </w:rPr>
            </w:r>
          </w:p>
        </w:tc>
        <w:tc>
          <w:tcPr>
            <w:tcW w:w="209" w:type="dxa"/>
            <w:tcBorders/>
            <w:vAlign w:val="center"/>
          </w:tcPr>
          <w:p>
            <w:pPr>
              <w:pStyle w:val="TableContents"/>
              <w:bidi w:val="0"/>
              <w:spacing w:before="0" w:after="283"/>
              <w:jc w:val="left"/>
              <w:rPr>
                <w:sz w:val="4"/>
                <w:szCs w:val="4"/>
              </w:rPr>
            </w:pPr>
            <w:r>
              <w:rPr>
                <w:sz w:val="4"/>
                <w:szCs w:val="4"/>
              </w:rPr>
            </w:r>
          </w:p>
        </w:tc>
      </w:tr>
      <w:tr>
        <w:trPr/>
        <w:tc>
          <w:tcPr>
            <w:tcW w:w="233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9" w:type="dxa"/>
            <w:gridSpan w:val="9"/>
            <w:tcBorders/>
            <w:tcMar>
              <w:top w:w="0" w:type="dxa"/>
              <w:left w:w="0" w:type="dxa"/>
              <w:bottom w:w="0" w:type="dxa"/>
              <w:right w:w="0" w:type="dxa"/>
            </w:tcMar>
            <w:vAlign w:val="center"/>
          </w:tcPr>
          <w:p>
            <w:pPr>
              <w:pStyle w:val="TableContents"/>
              <w:bidi w:val="0"/>
              <w:spacing w:lineRule="auto" w:line="252" w:before="0" w:after="283"/>
              <w:jc w:val="center"/>
              <w:rPr>
                <w:rFonts w:ascii="Times New Roman;serif" w:hAnsi="Times New Roman;serif"/>
                <w:b/>
                <w:color w:val="000000"/>
                <w:sz w:val="14"/>
              </w:rPr>
            </w:pPr>
            <w:r>
              <w:rPr>
                <w:rFonts w:ascii="Times New Roman;serif" w:hAnsi="Times New Roman;serif"/>
                <w:b/>
                <w:color w:val="000000"/>
                <w:sz w:val="14"/>
              </w:rPr>
              <w:t>Common 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vMerge w:val="restart"/>
            <w:tcBorders/>
            <w:tcMar>
              <w:top w:w="0" w:type="dxa"/>
              <w:left w:w="0" w:type="dxa"/>
              <w:bottom w:w="0" w:type="dxa"/>
              <w:right w:w="0" w:type="dxa"/>
            </w:tcMar>
            <w:vAlign w:val="center"/>
          </w:tcPr>
          <w:p>
            <w:pPr>
              <w:pStyle w:val="TableContents"/>
              <w:bidi w:val="0"/>
              <w:spacing w:lineRule="auto" w:line="252" w:before="0" w:after="283"/>
              <w:jc w:val="center"/>
              <w:rPr>
                <w:rFonts w:ascii="Times New Roman;serif" w:hAnsi="Times New Roman;serif"/>
                <w:b/>
                <w:color w:val="000000"/>
                <w:sz w:val="14"/>
              </w:rPr>
            </w:pPr>
            <w:r>
              <w:rPr>
                <w:rFonts w:ascii="Times New Roman;serif" w:hAnsi="Times New Roman;serif"/>
                <w:b/>
                <w:color w:val="000000"/>
                <w:sz w:val="14"/>
              </w:rPr>
              <w:t>Additional Paid-In</w:t>
              <w:br/>
              <w:t>Capital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00" w:type="dxa"/>
            <w:gridSpan w:val="3"/>
            <w:vMerge w:val="restart"/>
            <w:tcBorders/>
            <w:tcMar>
              <w:top w:w="0" w:type="dxa"/>
              <w:left w:w="0" w:type="dxa"/>
              <w:bottom w:w="0" w:type="dxa"/>
              <w:right w:w="0" w:type="dxa"/>
            </w:tcMar>
            <w:vAlign w:val="center"/>
          </w:tcPr>
          <w:p>
            <w:pPr>
              <w:pStyle w:val="TableContents"/>
              <w:bidi w:val="0"/>
              <w:spacing w:lineRule="auto" w:line="252" w:before="0" w:after="283"/>
              <w:jc w:val="center"/>
              <w:rPr>
                <w:rFonts w:ascii="Times New Roman;serif" w:hAnsi="Times New Roman;serif"/>
                <w:b/>
                <w:color w:val="000000"/>
                <w:sz w:val="14"/>
              </w:rPr>
            </w:pPr>
            <w:r>
              <w:rPr>
                <w:rFonts w:ascii="Times New Roman;serif" w:hAnsi="Times New Roman;serif"/>
                <w:b/>
                <w:color w:val="000000"/>
                <w:sz w:val="14"/>
              </w:rPr>
              <w:t xml:space="preserve">Accumulated Other Comprehensive (Loss) Income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5" w:type="dxa"/>
            <w:gridSpan w:val="3"/>
            <w:vMerge w:val="restart"/>
            <w:tcBorders/>
            <w:tcMar>
              <w:top w:w="0" w:type="dxa"/>
              <w:left w:w="0" w:type="dxa"/>
              <w:bottom w:w="0" w:type="dxa"/>
              <w:right w:w="0" w:type="dxa"/>
            </w:tcMar>
            <w:vAlign w:val="center"/>
          </w:tcPr>
          <w:p>
            <w:pPr>
              <w:pStyle w:val="TableContents"/>
              <w:bidi w:val="0"/>
              <w:spacing w:lineRule="auto" w:line="252" w:before="0" w:after="283"/>
              <w:jc w:val="center"/>
              <w:rPr>
                <w:rFonts w:ascii="Times New Roman;serif" w:hAnsi="Times New Roman;serif"/>
                <w:b/>
                <w:color w:val="000000"/>
                <w:sz w:val="14"/>
              </w:rPr>
            </w:pPr>
            <w:r>
              <w:rPr>
                <w:rFonts w:ascii="Times New Roman;serif" w:hAnsi="Times New Roman;serif"/>
                <w:b/>
                <w:color w:val="000000"/>
                <w:sz w:val="14"/>
              </w:rPr>
              <w:t xml:space="preserve">Accumulated </w:t>
              <w:br/>
              <w:t xml:space="preserve">Deficit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4" w:type="dxa"/>
            <w:gridSpan w:val="3"/>
            <w:vMerge w:val="restart"/>
            <w:tcBorders/>
            <w:tcMar>
              <w:top w:w="0" w:type="dxa"/>
              <w:left w:w="0" w:type="dxa"/>
              <w:bottom w:w="0" w:type="dxa"/>
              <w:right w:w="0" w:type="dxa"/>
            </w:tcMar>
            <w:vAlign w:val="center"/>
          </w:tcPr>
          <w:p>
            <w:pPr>
              <w:pStyle w:val="TableContents"/>
              <w:bidi w:val="0"/>
              <w:spacing w:lineRule="auto" w:line="252" w:before="0" w:after="283"/>
              <w:jc w:val="center"/>
              <w:rPr>
                <w:rFonts w:ascii="Times New Roman;serif" w:hAnsi="Times New Roman;serif"/>
                <w:b/>
                <w:color w:val="000000"/>
                <w:sz w:val="14"/>
              </w:rPr>
            </w:pPr>
            <w:r>
              <w:rPr>
                <w:rFonts w:ascii="Times New Roman;serif" w:hAnsi="Times New Roman;serif"/>
                <w:b/>
                <w:color w:val="000000"/>
                <w:sz w:val="14"/>
              </w:rPr>
              <w:t>Total Stockholders’ Equity</w:t>
            </w:r>
          </w:p>
        </w:tc>
      </w:tr>
      <w:tr>
        <w:trPr/>
        <w:tc>
          <w:tcPr>
            <w:tcW w:w="233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52" w:before="0" w:after="283"/>
              <w:jc w:val="center"/>
              <w:rPr>
                <w:rFonts w:ascii="Times New Roman;serif" w:hAnsi="Times New Roman;serif"/>
                <w:b/>
                <w:color w:val="000000"/>
                <w:sz w:val="14"/>
              </w:rPr>
            </w:pPr>
            <w:r>
              <w:rPr>
                <w:rFonts w:ascii="Times New Roman;serif" w:hAnsi="Times New Roman;serif"/>
                <w:b/>
                <w:color w:val="000000"/>
                <w:sz w:val="14"/>
              </w:rP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52" w:before="0" w:after="283"/>
              <w:jc w:val="center"/>
              <w:rPr>
                <w:rFonts w:ascii="Times New Roman;serif" w:hAnsi="Times New Roman;serif"/>
                <w:b/>
                <w:color w:val="000000"/>
                <w:sz w:val="14"/>
              </w:rPr>
            </w:pPr>
            <w:r>
              <w:rPr>
                <w:rFonts w:ascii="Times New Roman;serif" w:hAnsi="Times New Roman;serif"/>
                <w:b/>
                <w:color w:val="000000"/>
                <w:sz w:val="14"/>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00"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5"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4"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2338" w:type="dxa"/>
            <w:gridSpan w:val="3"/>
            <w:tcBorders/>
            <w:shd w:fill="CCEEFF" w:val="clear"/>
            <w:tcMar>
              <w:top w:w="0" w:type="dxa"/>
              <w:left w:w="0" w:type="dxa"/>
              <w:bottom w:w="0" w:type="dxa"/>
              <w:right w:w="0" w:type="dxa"/>
            </w:tcMar>
            <w:vAlign w:val="center"/>
          </w:tcPr>
          <w:p>
            <w:pPr>
              <w:pStyle w:val="TableContents"/>
              <w:bidi w:val="0"/>
              <w:spacing w:lineRule="auto" w:line="252" w:before="0" w:after="283"/>
              <w:jc w:val="left"/>
              <w:rPr>
                <w:rFonts w:ascii="Times New Roman;serif" w:hAnsi="Times New Roman;serif"/>
                <w:b/>
                <w:color w:val="000000"/>
                <w:sz w:val="14"/>
              </w:rPr>
            </w:pPr>
            <w:r>
              <w:rPr>
                <w:rFonts w:ascii="Times New Roman;serif" w:hAnsi="Times New Roman;serif"/>
                <w:b/>
                <w:color w:val="000000"/>
                <w:sz w:val="14"/>
              </w:rPr>
              <w:t>BALANCE—December 31, 2025</w:t>
            </w:r>
          </w:p>
        </w:tc>
        <w:tc>
          <w:tcPr>
            <w:tcW w:w="76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52" w:before="0" w:after="283"/>
              <w:jc w:val="right"/>
              <w:rPr>
                <w:rFonts w:ascii="Times New Roman;serif" w:hAnsi="Times New Roman;serif"/>
                <w:b w:val="false"/>
                <w:color w:val="000000"/>
                <w:sz w:val="14"/>
              </w:rPr>
            </w:pPr>
            <w:r>
              <w:rPr>
                <w:rFonts w:ascii="Times New Roman;serif" w:hAnsi="Times New Roman;serif"/>
                <w:b w:val="false"/>
                <w:color w:val="000000"/>
                <w:sz w:val="14"/>
              </w:rPr>
              <w:t>95,143,690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52"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28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52" w:before="0" w:after="283"/>
              <w:jc w:val="right"/>
              <w:rPr>
                <w:rFonts w:ascii="Times New Roman;serif" w:hAnsi="Times New Roman;serif"/>
                <w:b w:val="false"/>
                <w:color w:val="000000"/>
                <w:sz w:val="14"/>
              </w:rPr>
            </w:pPr>
            <w:r>
              <w:rPr>
                <w:rFonts w:ascii="Times New Roman;serif" w:hAnsi="Times New Roman;serif"/>
                <w:b w:val="false"/>
                <w:color w:val="000000"/>
                <w:sz w:val="14"/>
              </w:rPr>
              <w:t>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52"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68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52" w:before="0" w:after="283"/>
              <w:jc w:val="right"/>
              <w:rPr>
                <w:rFonts w:ascii="Times New Roman;serif" w:hAnsi="Times New Roman;serif"/>
                <w:b w:val="false"/>
                <w:color w:val="000000"/>
                <w:sz w:val="14"/>
              </w:rPr>
            </w:pPr>
            <w:r>
              <w:rPr>
                <w:rFonts w:ascii="Times New Roman;serif" w:hAnsi="Times New Roman;serif"/>
                <w:b w:val="false"/>
                <w:color w:val="000000"/>
                <w:sz w:val="14"/>
              </w:rPr>
              <w:t>718,578 </w:t>
            </w:r>
          </w:p>
        </w:tc>
        <w:tc>
          <w:tcPr>
            <w:tcW w:w="12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52"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94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52" w:before="0" w:after="283"/>
              <w:jc w:val="right"/>
              <w:rPr>
                <w:rFonts w:ascii="Times New Roman;serif" w:hAnsi="Times New Roman;serif"/>
                <w:b w:val="false"/>
                <w:color w:val="000000"/>
                <w:sz w:val="14"/>
              </w:rPr>
            </w:pPr>
            <w:r>
              <w:rPr>
                <w:rFonts w:ascii="Times New Roman;serif" w:hAnsi="Times New Roman;serif"/>
                <w:b w:val="false"/>
                <w:color w:val="000000"/>
                <w:sz w:val="14"/>
              </w:rPr>
              <w:t>103 </w:t>
            </w:r>
          </w:p>
        </w:tc>
        <w:tc>
          <w:tcPr>
            <w:tcW w:w="28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52"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64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52" w:before="0" w:after="283"/>
              <w:jc w:val="right"/>
              <w:rPr>
                <w:rFonts w:ascii="Times New Roman;serif" w:hAnsi="Times New Roman;serif"/>
                <w:b w:val="false"/>
                <w:color w:val="000000"/>
                <w:sz w:val="14"/>
              </w:rPr>
            </w:pPr>
            <w:r>
              <w:rPr>
                <w:rFonts w:ascii="Times New Roman;serif" w:hAnsi="Times New Roman;serif"/>
                <w:b w:val="false"/>
                <w:color w:val="000000"/>
                <w:sz w:val="14"/>
              </w:rPr>
              <w:t>(596,515)</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52"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80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52" w:before="0" w:after="283"/>
              <w:jc w:val="right"/>
              <w:rPr>
                <w:rFonts w:ascii="Times New Roman;serif" w:hAnsi="Times New Roman;serif"/>
                <w:b w:val="false"/>
                <w:color w:val="000000"/>
                <w:sz w:val="14"/>
              </w:rPr>
            </w:pPr>
            <w:r>
              <w:rPr>
                <w:rFonts w:ascii="Times New Roman;serif" w:hAnsi="Times New Roman;serif"/>
                <w:b w:val="false"/>
                <w:color w:val="000000"/>
                <w:sz w:val="14"/>
              </w:rPr>
              <w:t>122,175 </w:t>
            </w:r>
          </w:p>
        </w:tc>
        <w:tc>
          <w:tcPr>
            <w:tcW w:w="2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38" w:type="dxa"/>
            <w:gridSpan w:val="3"/>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serif" w:hAnsi="Times New Roman;serif"/>
                <w:b w:val="false"/>
                <w:color w:val="000000"/>
                <w:sz w:val="14"/>
              </w:rPr>
            </w:pPr>
            <w:r>
              <w:rPr>
                <w:rFonts w:ascii="Times New Roman;serif" w:hAnsi="Times New Roman;serif"/>
                <w:b w:val="false"/>
                <w:color w:val="000000"/>
                <w:sz w:val="14"/>
              </w:rPr>
              <w:t>Issuances of common stock under ESPP</w:t>
            </w:r>
          </w:p>
        </w:tc>
        <w:tc>
          <w:tcPr>
            <w:tcW w:w="766" w:type="dxa"/>
            <w:gridSpan w:val="3"/>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serif" w:hAnsi="Times New Roman;serif"/>
                <w:b w:val="false"/>
                <w:color w:val="000000"/>
                <w:sz w:val="14"/>
              </w:rPr>
            </w:pPr>
            <w:r>
              <w:rPr>
                <w:rFonts w:ascii="Times New Roman;serif" w:hAnsi="Times New Roman;serif"/>
                <w:b w:val="false"/>
                <w:color w:val="000000"/>
                <w:sz w:val="14"/>
              </w:rPr>
              <w:t>348,411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7" w:type="dxa"/>
            <w:gridSpan w:val="2"/>
            <w:tcBorders/>
            <w:shd w:fill="FFFFFF" w:val="clear"/>
            <w:tcMar>
              <w:top w:w="0" w:type="dxa"/>
              <w:left w:w="0" w:type="dxa"/>
              <w:bottom w:w="0" w:type="dxa"/>
              <w:right w:w="0" w:type="dxa"/>
            </w:tcMar>
            <w:vAlign w:val="center"/>
          </w:tcPr>
          <w:p>
            <w:pPr>
              <w:pStyle w:val="TableContents"/>
              <w:bidi w:val="0"/>
              <w:spacing w:lineRule="auto" w:line="252"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0" w:type="dxa"/>
            <w:gridSpan w:val="2"/>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serif" w:hAnsi="Times New Roman;serif"/>
                <w:b w:val="false"/>
                <w:color w:val="000000"/>
                <w:sz w:val="14"/>
              </w:rPr>
            </w:pPr>
            <w:r>
              <w:rPr>
                <w:rFonts w:ascii="Times New Roman;serif" w:hAnsi="Times New Roman;serif"/>
                <w:b w:val="false"/>
                <w:color w:val="000000"/>
                <w:sz w:val="14"/>
              </w:rPr>
              <w:t>468 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4" w:type="dxa"/>
            <w:gridSpan w:val="2"/>
            <w:tcBorders/>
            <w:shd w:fill="FFFFFF" w:val="clear"/>
            <w:tcMar>
              <w:top w:w="0" w:type="dxa"/>
              <w:left w:w="0" w:type="dxa"/>
              <w:bottom w:w="0" w:type="dxa"/>
              <w:right w:w="0" w:type="dxa"/>
            </w:tcMar>
            <w:vAlign w:val="center"/>
          </w:tcPr>
          <w:p>
            <w:pPr>
              <w:pStyle w:val="TableContents"/>
              <w:bidi w:val="0"/>
              <w:spacing w:lineRule="auto" w:line="252" w:before="0" w:after="283"/>
              <w:jc w:val="right"/>
              <w:rPr>
                <w:color w:val="000000"/>
              </w:rPr>
            </w:pPr>
            <w:r>
              <w:rPr>
                <w:color w:val="000000"/>
              </w:rPr>
              <w:t>—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52"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5" w:type="dxa"/>
            <w:gridSpan w:val="2"/>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serif" w:hAnsi="Times New Roman;serif"/>
                <w:b w:val="false"/>
                <w:color w:val="000000"/>
                <w:sz w:val="14"/>
              </w:rPr>
            </w:pPr>
            <w:r>
              <w:rPr>
                <w:rFonts w:ascii="Times New Roman;serif" w:hAnsi="Times New Roman;serif"/>
                <w:b w:val="false"/>
                <w:color w:val="000000"/>
                <w:sz w:val="14"/>
              </w:rPr>
              <w:t>468 </w:t>
            </w:r>
          </w:p>
        </w:tc>
        <w:tc>
          <w:tcPr>
            <w:tcW w:w="2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38" w:type="dxa"/>
            <w:gridSpan w:val="3"/>
            <w:tcBorders/>
            <w:shd w:fill="CCEEFF" w:val="clear"/>
            <w:tcMar>
              <w:top w:w="0" w:type="dxa"/>
              <w:left w:w="0" w:type="dxa"/>
              <w:bottom w:w="0" w:type="dxa"/>
              <w:right w:w="0" w:type="dxa"/>
            </w:tcMar>
            <w:vAlign w:val="center"/>
          </w:tcPr>
          <w:p>
            <w:pPr>
              <w:pStyle w:val="TableContents"/>
              <w:bidi w:val="0"/>
              <w:spacing w:lineRule="auto" w:line="252" w:before="0" w:after="0"/>
              <w:jc w:val="left"/>
              <w:rPr>
                <w:rFonts w:ascii="Times New Roman;serif" w:hAnsi="Times New Roman;serif"/>
                <w:b w:val="false"/>
                <w:color w:val="000000"/>
                <w:sz w:val="14"/>
              </w:rPr>
            </w:pPr>
            <w:r>
              <w:rPr>
                <w:rFonts w:ascii="Times New Roman;serif" w:hAnsi="Times New Roman;serif"/>
                <w:b w:val="false"/>
                <w:color w:val="000000"/>
                <w:sz w:val="14"/>
              </w:rPr>
              <w:t>Issuances of common stock on exercise of options</w:t>
            </w:r>
          </w:p>
        </w:tc>
        <w:tc>
          <w:tcPr>
            <w:tcW w:w="766" w:type="dxa"/>
            <w:gridSpan w:val="3"/>
            <w:tcBorders/>
            <w:shd w:fill="CCEEFF" w:val="clear"/>
            <w:tcMar>
              <w:top w:w="0" w:type="dxa"/>
              <w:left w:w="0" w:type="dxa"/>
              <w:bottom w:w="0" w:type="dxa"/>
              <w:right w:w="0" w:type="dxa"/>
            </w:tcMar>
            <w:vAlign w:val="center"/>
          </w:tcPr>
          <w:p>
            <w:pPr>
              <w:pStyle w:val="TableContents"/>
              <w:bidi w:val="0"/>
              <w:spacing w:lineRule="auto" w:line="252" w:before="0" w:after="283"/>
              <w:jc w:val="right"/>
              <w:rPr>
                <w:rFonts w:ascii="Times New Roman;serif" w:hAnsi="Times New Roman;serif"/>
                <w:b w:val="false"/>
                <w:color w:val="000000"/>
                <w:sz w:val="14"/>
              </w:rPr>
            </w:pPr>
            <w:r>
              <w:rPr>
                <w:rFonts w:ascii="Times New Roman;serif" w:hAnsi="Times New Roman;serif"/>
                <w:b w:val="false"/>
                <w:color w:val="000000"/>
                <w:sz w:val="14"/>
              </w:rPr>
              <w:t>6,200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7" w:type="dxa"/>
            <w:gridSpan w:val="2"/>
            <w:tcBorders/>
            <w:shd w:fill="CCEEFF" w:val="clear"/>
            <w:tcMar>
              <w:top w:w="0" w:type="dxa"/>
              <w:left w:w="0" w:type="dxa"/>
              <w:bottom w:w="0" w:type="dxa"/>
              <w:right w:w="0" w:type="dxa"/>
            </w:tcMar>
            <w:vAlign w:val="center"/>
          </w:tcPr>
          <w:p>
            <w:pPr>
              <w:pStyle w:val="TableContents"/>
              <w:bidi w:val="0"/>
              <w:spacing w:lineRule="auto" w:line="252"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0" w:type="dxa"/>
            <w:gridSpan w:val="2"/>
            <w:tcBorders/>
            <w:shd w:fill="CCEEFF" w:val="clear"/>
            <w:tcMar>
              <w:top w:w="0" w:type="dxa"/>
              <w:left w:w="0" w:type="dxa"/>
              <w:bottom w:w="0" w:type="dxa"/>
              <w:right w:w="0" w:type="dxa"/>
            </w:tcMar>
            <w:vAlign w:val="center"/>
          </w:tcPr>
          <w:p>
            <w:pPr>
              <w:pStyle w:val="TableContents"/>
              <w:bidi w:val="0"/>
              <w:spacing w:lineRule="auto" w:line="252" w:before="0" w:after="283"/>
              <w:jc w:val="right"/>
              <w:rPr>
                <w:rFonts w:ascii="Times New Roman;serif" w:hAnsi="Times New Roman;serif"/>
                <w:b w:val="false"/>
                <w:color w:val="000000"/>
                <w:sz w:val="14"/>
              </w:rPr>
            </w:pPr>
            <w:r>
              <w:rPr>
                <w:rFonts w:ascii="Times New Roman;serif" w:hAnsi="Times New Roman;serif"/>
                <w:b w:val="false"/>
                <w:color w:val="000000"/>
                <w:sz w:val="14"/>
              </w:rPr>
              <w:t>9 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4" w:type="dxa"/>
            <w:gridSpan w:val="2"/>
            <w:tcBorders/>
            <w:shd w:fill="CCEEFF" w:val="clear"/>
            <w:tcMar>
              <w:top w:w="0" w:type="dxa"/>
              <w:left w:w="0" w:type="dxa"/>
              <w:bottom w:w="0" w:type="dxa"/>
              <w:right w:w="0" w:type="dxa"/>
            </w:tcMar>
            <w:vAlign w:val="center"/>
          </w:tcPr>
          <w:p>
            <w:pPr>
              <w:pStyle w:val="TableContents"/>
              <w:bidi w:val="0"/>
              <w:spacing w:lineRule="auto" w:line="252" w:before="0" w:after="283"/>
              <w:jc w:val="right"/>
              <w:rPr>
                <w:color w:val="000000"/>
              </w:rPr>
            </w:pPr>
            <w:r>
              <w:rPr>
                <w:color w:val="000000"/>
              </w:rPr>
              <w:t>— </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52"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5" w:type="dxa"/>
            <w:gridSpan w:val="2"/>
            <w:tcBorders/>
            <w:shd w:fill="CCEEFF" w:val="clear"/>
            <w:tcMar>
              <w:top w:w="0" w:type="dxa"/>
              <w:left w:w="0" w:type="dxa"/>
              <w:bottom w:w="0" w:type="dxa"/>
              <w:right w:w="0" w:type="dxa"/>
            </w:tcMar>
            <w:vAlign w:val="center"/>
          </w:tcPr>
          <w:p>
            <w:pPr>
              <w:pStyle w:val="TableContents"/>
              <w:bidi w:val="0"/>
              <w:spacing w:lineRule="auto" w:line="252" w:before="0" w:after="283"/>
              <w:jc w:val="right"/>
              <w:rPr>
                <w:rFonts w:ascii="Times New Roman;serif" w:hAnsi="Times New Roman;serif"/>
                <w:b w:val="false"/>
                <w:color w:val="000000"/>
                <w:sz w:val="14"/>
              </w:rPr>
            </w:pPr>
            <w:r>
              <w:rPr>
                <w:rFonts w:ascii="Times New Roman;serif" w:hAnsi="Times New Roman;serif"/>
                <w:b w:val="false"/>
                <w:color w:val="000000"/>
                <w:sz w:val="14"/>
              </w:rPr>
              <w:t>9 </w:t>
            </w:r>
          </w:p>
        </w:tc>
        <w:tc>
          <w:tcPr>
            <w:tcW w:w="2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38" w:type="dxa"/>
            <w:gridSpan w:val="3"/>
            <w:tcBorders/>
            <w:shd w:fill="FFFFFF" w:val="clear"/>
            <w:tcMar>
              <w:top w:w="0" w:type="dxa"/>
              <w:left w:w="0" w:type="dxa"/>
              <w:bottom w:w="0" w:type="dxa"/>
              <w:right w:w="0" w:type="dxa"/>
            </w:tcMar>
            <w:vAlign w:val="center"/>
          </w:tcPr>
          <w:p>
            <w:pPr>
              <w:pStyle w:val="TableContents"/>
              <w:bidi w:val="0"/>
              <w:spacing w:lineRule="auto" w:line="252" w:before="0" w:after="0"/>
              <w:jc w:val="left"/>
              <w:rPr>
                <w:rFonts w:ascii="Times New Roman;serif" w:hAnsi="Times New Roman;serif"/>
                <w:b w:val="false"/>
                <w:color w:val="000000"/>
                <w:sz w:val="14"/>
              </w:rPr>
            </w:pPr>
            <w:r>
              <w:rPr>
                <w:rFonts w:ascii="Times New Roman;serif" w:hAnsi="Times New Roman;serif"/>
                <w:b w:val="false"/>
                <w:color w:val="000000"/>
                <w:sz w:val="14"/>
              </w:rPr>
              <w:t xml:space="preserve">Issuances of common stock in connection with ATM offering, net of offering expenses </w:t>
            </w:r>
          </w:p>
        </w:tc>
        <w:tc>
          <w:tcPr>
            <w:tcW w:w="766" w:type="dxa"/>
            <w:gridSpan w:val="3"/>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serif" w:hAnsi="Times New Roman;serif"/>
                <w:b w:val="false"/>
                <w:color w:val="000000"/>
                <w:sz w:val="14"/>
              </w:rPr>
            </w:pPr>
            <w:r>
              <w:rPr>
                <w:rFonts w:ascii="Times New Roman;serif" w:hAnsi="Times New Roman;serif"/>
                <w:b w:val="false"/>
                <w:color w:val="000000"/>
                <w:sz w:val="14"/>
              </w:rPr>
              <w:t>1,078,768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7" w:type="dxa"/>
            <w:gridSpan w:val="2"/>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serif" w:hAnsi="Times New Roman;serif"/>
                <w:b w:val="false"/>
                <w:color w:val="000000"/>
                <w:sz w:val="14"/>
              </w:rPr>
            </w:pPr>
            <w:r>
              <w:rPr>
                <w:rFonts w:ascii="Times New Roman;serif" w:hAnsi="Times New Roman;serif"/>
                <w:b w:val="false"/>
                <w:color w:val="000000"/>
                <w:sz w:val="14"/>
              </w:rPr>
              <w:t>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0" w:type="dxa"/>
            <w:gridSpan w:val="2"/>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serif" w:hAnsi="Times New Roman;serif"/>
                <w:b w:val="false"/>
                <w:color w:val="000000"/>
                <w:sz w:val="14"/>
              </w:rPr>
            </w:pPr>
            <w:r>
              <w:rPr>
                <w:rFonts w:ascii="Times New Roman;serif" w:hAnsi="Times New Roman;serif"/>
                <w:b w:val="false"/>
                <w:color w:val="000000"/>
                <w:sz w:val="14"/>
              </w:rPr>
              <w:t>2,219 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4" w:type="dxa"/>
            <w:gridSpan w:val="2"/>
            <w:tcBorders/>
            <w:shd w:fill="FFFFFF" w:val="clear"/>
            <w:tcMar>
              <w:top w:w="0" w:type="dxa"/>
              <w:left w:w="0" w:type="dxa"/>
              <w:bottom w:w="0" w:type="dxa"/>
              <w:right w:w="0" w:type="dxa"/>
            </w:tcMar>
            <w:vAlign w:val="center"/>
          </w:tcPr>
          <w:p>
            <w:pPr>
              <w:pStyle w:val="TableContents"/>
              <w:bidi w:val="0"/>
              <w:spacing w:lineRule="auto" w:line="252" w:before="0" w:after="283"/>
              <w:jc w:val="right"/>
              <w:rPr>
                <w:color w:val="000000"/>
              </w:rPr>
            </w:pPr>
            <w:r>
              <w:rPr>
                <w:color w:val="000000"/>
              </w:rPr>
              <w:t>—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52"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5" w:type="dxa"/>
            <w:gridSpan w:val="2"/>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serif" w:hAnsi="Times New Roman;serif"/>
                <w:b w:val="false"/>
                <w:color w:val="000000"/>
                <w:sz w:val="14"/>
              </w:rPr>
            </w:pPr>
            <w:r>
              <w:rPr>
                <w:rFonts w:ascii="Times New Roman;serif" w:hAnsi="Times New Roman;serif"/>
                <w:b w:val="false"/>
                <w:color w:val="000000"/>
                <w:sz w:val="14"/>
              </w:rPr>
              <w:t>2,220 </w:t>
            </w:r>
          </w:p>
        </w:tc>
        <w:tc>
          <w:tcPr>
            <w:tcW w:w="2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38" w:type="dxa"/>
            <w:gridSpan w:val="3"/>
            <w:tcBorders/>
            <w:shd w:fill="CCEEFF" w:val="clear"/>
            <w:tcMar>
              <w:top w:w="0" w:type="dxa"/>
              <w:left w:w="0" w:type="dxa"/>
              <w:bottom w:w="0" w:type="dxa"/>
              <w:right w:w="0" w:type="dxa"/>
            </w:tcMar>
            <w:vAlign w:val="center"/>
          </w:tcPr>
          <w:p>
            <w:pPr>
              <w:pStyle w:val="TableContents"/>
              <w:bidi w:val="0"/>
              <w:spacing w:lineRule="auto" w:line="252" w:before="0" w:after="283"/>
              <w:jc w:val="left"/>
              <w:rPr>
                <w:rFonts w:ascii="Times New Roman;serif" w:hAnsi="Times New Roman;serif"/>
                <w:b w:val="false"/>
                <w:color w:val="000000"/>
                <w:sz w:val="14"/>
              </w:rPr>
            </w:pPr>
            <w:r>
              <w:rPr>
                <w:rFonts w:ascii="Times New Roman;serif" w:hAnsi="Times New Roman;serif"/>
                <w:b w:val="false"/>
                <w:color w:val="000000"/>
                <w:sz w:val="14"/>
              </w:rPr>
              <w:t>Issuances of common stock upon vesting of RSUs</w:t>
            </w:r>
          </w:p>
        </w:tc>
        <w:tc>
          <w:tcPr>
            <w:tcW w:w="766" w:type="dxa"/>
            <w:gridSpan w:val="3"/>
            <w:tcBorders/>
            <w:shd w:fill="CCEEFF" w:val="clear"/>
            <w:tcMar>
              <w:top w:w="0" w:type="dxa"/>
              <w:left w:w="0" w:type="dxa"/>
              <w:bottom w:w="0" w:type="dxa"/>
              <w:right w:w="0" w:type="dxa"/>
            </w:tcMar>
            <w:vAlign w:val="center"/>
          </w:tcPr>
          <w:p>
            <w:pPr>
              <w:pStyle w:val="TableContents"/>
              <w:bidi w:val="0"/>
              <w:spacing w:lineRule="auto" w:line="252" w:before="0" w:after="283"/>
              <w:jc w:val="right"/>
              <w:rPr>
                <w:rFonts w:ascii="Times New Roman;serif" w:hAnsi="Times New Roman;serif"/>
                <w:b w:val="false"/>
                <w:color w:val="000000"/>
                <w:sz w:val="14"/>
              </w:rPr>
            </w:pPr>
            <w:r>
              <w:rPr>
                <w:rFonts w:ascii="Times New Roman;serif" w:hAnsi="Times New Roman;serif"/>
                <w:b w:val="false"/>
                <w:color w:val="000000"/>
                <w:sz w:val="14"/>
              </w:rPr>
              <w:t>374,165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7" w:type="dxa"/>
            <w:gridSpan w:val="2"/>
            <w:tcBorders/>
            <w:shd w:fill="CCEEFF" w:val="clear"/>
            <w:tcMar>
              <w:top w:w="0" w:type="dxa"/>
              <w:left w:w="0" w:type="dxa"/>
              <w:bottom w:w="0" w:type="dxa"/>
              <w:right w:w="0" w:type="dxa"/>
            </w:tcMar>
            <w:vAlign w:val="center"/>
          </w:tcPr>
          <w:p>
            <w:pPr>
              <w:pStyle w:val="TableContents"/>
              <w:bidi w:val="0"/>
              <w:spacing w:lineRule="auto" w:line="252"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0" w:type="dxa"/>
            <w:gridSpan w:val="2"/>
            <w:tcBorders/>
            <w:shd w:fill="CCEEFF" w:val="clear"/>
            <w:tcMar>
              <w:top w:w="0" w:type="dxa"/>
              <w:left w:w="0" w:type="dxa"/>
              <w:bottom w:w="0" w:type="dxa"/>
              <w:right w:w="0" w:type="dxa"/>
            </w:tcMar>
            <w:vAlign w:val="center"/>
          </w:tcPr>
          <w:p>
            <w:pPr>
              <w:pStyle w:val="TableContents"/>
              <w:bidi w:val="0"/>
              <w:spacing w:lineRule="auto" w:line="252" w:before="0" w:after="283"/>
              <w:jc w:val="right"/>
              <w:rPr>
                <w:color w:val="000000"/>
              </w:rPr>
            </w:pPr>
            <w:r>
              <w:rPr>
                <w:color w:val="000000"/>
              </w:rPr>
              <w:t>—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4" w:type="dxa"/>
            <w:gridSpan w:val="2"/>
            <w:tcBorders/>
            <w:shd w:fill="CCEEFF" w:val="clear"/>
            <w:tcMar>
              <w:top w:w="0" w:type="dxa"/>
              <w:left w:w="0" w:type="dxa"/>
              <w:bottom w:w="0" w:type="dxa"/>
              <w:right w:w="0" w:type="dxa"/>
            </w:tcMar>
            <w:vAlign w:val="center"/>
          </w:tcPr>
          <w:p>
            <w:pPr>
              <w:pStyle w:val="TableContents"/>
              <w:bidi w:val="0"/>
              <w:spacing w:lineRule="auto" w:line="252" w:before="0" w:after="283"/>
              <w:jc w:val="right"/>
              <w:rPr>
                <w:color w:val="000000"/>
              </w:rPr>
            </w:pPr>
            <w:r>
              <w:rPr>
                <w:color w:val="000000"/>
              </w:rPr>
              <w:t>— </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52"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5" w:type="dxa"/>
            <w:gridSpan w:val="2"/>
            <w:tcBorders/>
            <w:shd w:fill="CCEEFF" w:val="clear"/>
            <w:tcMar>
              <w:top w:w="0" w:type="dxa"/>
              <w:left w:w="0" w:type="dxa"/>
              <w:bottom w:w="0" w:type="dxa"/>
              <w:right w:w="0" w:type="dxa"/>
            </w:tcMar>
            <w:vAlign w:val="center"/>
          </w:tcPr>
          <w:p>
            <w:pPr>
              <w:pStyle w:val="TableContents"/>
              <w:bidi w:val="0"/>
              <w:spacing w:lineRule="auto" w:line="252" w:before="0" w:after="283"/>
              <w:jc w:val="right"/>
              <w:rPr>
                <w:color w:val="000000"/>
              </w:rPr>
            </w:pPr>
            <w:r>
              <w:rPr>
                <w:color w:val="000000"/>
              </w:rPr>
              <w:t>— </w:t>
            </w:r>
          </w:p>
        </w:tc>
        <w:tc>
          <w:tcPr>
            <w:tcW w:w="2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38" w:type="dxa"/>
            <w:gridSpan w:val="3"/>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serif" w:hAnsi="Times New Roman;serif"/>
                <w:b w:val="false"/>
                <w:color w:val="000000"/>
                <w:sz w:val="14"/>
              </w:rPr>
            </w:pPr>
            <w:r>
              <w:rPr>
                <w:rFonts w:ascii="Times New Roman;serif" w:hAnsi="Times New Roman;serif"/>
                <w:b w:val="false"/>
                <w:color w:val="000000"/>
                <w:sz w:val="14"/>
              </w:rPr>
              <w:t>Stock-based compensation expense</w:t>
            </w:r>
          </w:p>
        </w:tc>
        <w:tc>
          <w:tcPr>
            <w:tcW w:w="766" w:type="dxa"/>
            <w:gridSpan w:val="3"/>
            <w:tcBorders/>
            <w:shd w:fill="FFFFFF" w:val="clear"/>
            <w:tcMar>
              <w:top w:w="0" w:type="dxa"/>
              <w:left w:w="0" w:type="dxa"/>
              <w:bottom w:w="0" w:type="dxa"/>
              <w:right w:w="0" w:type="dxa"/>
            </w:tcMar>
            <w:vAlign w:val="center"/>
          </w:tcPr>
          <w:p>
            <w:pPr>
              <w:pStyle w:val="TableContents"/>
              <w:bidi w:val="0"/>
              <w:spacing w:lineRule="auto" w:line="252"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7" w:type="dxa"/>
            <w:gridSpan w:val="2"/>
            <w:tcBorders/>
            <w:shd w:fill="FFFFFF" w:val="clear"/>
            <w:tcMar>
              <w:top w:w="0" w:type="dxa"/>
              <w:left w:w="0" w:type="dxa"/>
              <w:bottom w:w="0" w:type="dxa"/>
              <w:right w:w="0" w:type="dxa"/>
            </w:tcMar>
            <w:vAlign w:val="center"/>
          </w:tcPr>
          <w:p>
            <w:pPr>
              <w:pStyle w:val="TableContents"/>
              <w:bidi w:val="0"/>
              <w:spacing w:lineRule="auto" w:line="252"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0" w:type="dxa"/>
            <w:gridSpan w:val="2"/>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serif" w:hAnsi="Times New Roman;serif"/>
                <w:b w:val="false"/>
                <w:color w:val="000000"/>
                <w:sz w:val="14"/>
              </w:rPr>
            </w:pPr>
            <w:r>
              <w:rPr>
                <w:rFonts w:ascii="Times New Roman;serif" w:hAnsi="Times New Roman;serif"/>
                <w:b w:val="false"/>
                <w:color w:val="000000"/>
                <w:sz w:val="14"/>
              </w:rPr>
              <w:t>2,357 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4" w:type="dxa"/>
            <w:gridSpan w:val="2"/>
            <w:tcBorders/>
            <w:shd w:fill="FFFFFF" w:val="clear"/>
            <w:tcMar>
              <w:top w:w="0" w:type="dxa"/>
              <w:left w:w="0" w:type="dxa"/>
              <w:bottom w:w="0" w:type="dxa"/>
              <w:right w:w="0" w:type="dxa"/>
            </w:tcMar>
            <w:vAlign w:val="center"/>
          </w:tcPr>
          <w:p>
            <w:pPr>
              <w:pStyle w:val="TableContents"/>
              <w:bidi w:val="0"/>
              <w:spacing w:lineRule="auto" w:line="252" w:before="0" w:after="283"/>
              <w:jc w:val="right"/>
              <w:rPr>
                <w:color w:val="000000"/>
              </w:rPr>
            </w:pPr>
            <w:r>
              <w:rPr>
                <w:color w:val="000000"/>
              </w:rPr>
              <w:t>—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52"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5" w:type="dxa"/>
            <w:gridSpan w:val="2"/>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serif" w:hAnsi="Times New Roman;serif"/>
                <w:b w:val="false"/>
                <w:color w:val="000000"/>
                <w:sz w:val="14"/>
              </w:rPr>
            </w:pPr>
            <w:r>
              <w:rPr>
                <w:rFonts w:ascii="Times New Roman;serif" w:hAnsi="Times New Roman;serif"/>
                <w:b w:val="false"/>
                <w:color w:val="000000"/>
                <w:sz w:val="14"/>
              </w:rPr>
              <w:t>2,357 </w:t>
            </w:r>
          </w:p>
        </w:tc>
        <w:tc>
          <w:tcPr>
            <w:tcW w:w="2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38" w:type="dxa"/>
            <w:gridSpan w:val="3"/>
            <w:tcBorders/>
            <w:shd w:fill="CCEEFF" w:val="clear"/>
            <w:tcMar>
              <w:top w:w="0" w:type="dxa"/>
              <w:left w:w="0" w:type="dxa"/>
              <w:bottom w:w="0" w:type="dxa"/>
              <w:right w:w="0" w:type="dxa"/>
            </w:tcMar>
            <w:vAlign w:val="center"/>
          </w:tcPr>
          <w:p>
            <w:pPr>
              <w:pStyle w:val="TableContents"/>
              <w:bidi w:val="0"/>
              <w:spacing w:lineRule="auto" w:line="252" w:before="0" w:after="283"/>
              <w:jc w:val="left"/>
              <w:rPr>
                <w:rFonts w:ascii="Times New Roman;serif" w:hAnsi="Times New Roman;serif"/>
                <w:b w:val="false"/>
                <w:color w:val="000000"/>
                <w:sz w:val="14"/>
              </w:rPr>
            </w:pPr>
            <w:r>
              <w:rPr>
                <w:rFonts w:ascii="Times New Roman;serif" w:hAnsi="Times New Roman;serif"/>
                <w:b w:val="false"/>
                <w:color w:val="000000"/>
                <w:sz w:val="14"/>
              </w:rPr>
              <w:t>Net loss</w:t>
            </w:r>
          </w:p>
        </w:tc>
        <w:tc>
          <w:tcPr>
            <w:tcW w:w="766" w:type="dxa"/>
            <w:gridSpan w:val="3"/>
            <w:tcBorders/>
            <w:shd w:fill="CCEEFF" w:val="clear"/>
            <w:tcMar>
              <w:top w:w="0" w:type="dxa"/>
              <w:left w:w="0" w:type="dxa"/>
              <w:bottom w:w="0" w:type="dxa"/>
              <w:right w:w="0" w:type="dxa"/>
            </w:tcMar>
            <w:vAlign w:val="center"/>
          </w:tcPr>
          <w:p>
            <w:pPr>
              <w:pStyle w:val="TableContents"/>
              <w:bidi w:val="0"/>
              <w:spacing w:lineRule="auto" w:line="252"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7" w:type="dxa"/>
            <w:gridSpan w:val="2"/>
            <w:tcBorders/>
            <w:shd w:fill="CCEEFF" w:val="clear"/>
            <w:tcMar>
              <w:top w:w="0" w:type="dxa"/>
              <w:left w:w="0" w:type="dxa"/>
              <w:bottom w:w="0" w:type="dxa"/>
              <w:right w:w="0" w:type="dxa"/>
            </w:tcMar>
            <w:vAlign w:val="center"/>
          </w:tcPr>
          <w:p>
            <w:pPr>
              <w:pStyle w:val="TableContents"/>
              <w:bidi w:val="0"/>
              <w:spacing w:lineRule="auto" w:line="252"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0" w:type="dxa"/>
            <w:gridSpan w:val="2"/>
            <w:tcBorders/>
            <w:shd w:fill="CCEEFF" w:val="clear"/>
            <w:tcMar>
              <w:top w:w="0" w:type="dxa"/>
              <w:left w:w="0" w:type="dxa"/>
              <w:bottom w:w="0" w:type="dxa"/>
              <w:right w:w="0" w:type="dxa"/>
            </w:tcMar>
            <w:vAlign w:val="center"/>
          </w:tcPr>
          <w:p>
            <w:pPr>
              <w:pStyle w:val="TableContents"/>
              <w:bidi w:val="0"/>
              <w:spacing w:lineRule="auto" w:line="252" w:before="0" w:after="283"/>
              <w:jc w:val="right"/>
              <w:rPr>
                <w:color w:val="000000"/>
              </w:rPr>
            </w:pPr>
            <w:r>
              <w:rPr>
                <w:color w:val="000000"/>
              </w:rPr>
              <w:t>—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4" w:type="dxa"/>
            <w:gridSpan w:val="2"/>
            <w:tcBorders/>
            <w:shd w:fill="CCEEFF" w:val="clear"/>
            <w:tcMar>
              <w:top w:w="0" w:type="dxa"/>
              <w:left w:w="0" w:type="dxa"/>
              <w:bottom w:w="0" w:type="dxa"/>
              <w:right w:w="0" w:type="dxa"/>
            </w:tcMar>
            <w:vAlign w:val="center"/>
          </w:tcPr>
          <w:p>
            <w:pPr>
              <w:pStyle w:val="TableContents"/>
              <w:bidi w:val="0"/>
              <w:spacing w:lineRule="auto" w:line="252" w:before="0" w:after="283"/>
              <w:jc w:val="right"/>
              <w:rPr>
                <w:color w:val="000000"/>
              </w:rPr>
            </w:pPr>
            <w:r>
              <w:rPr>
                <w:color w:val="000000"/>
              </w:rPr>
              <w:t>— </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52" w:before="0" w:after="283"/>
              <w:jc w:val="right"/>
              <w:rPr>
                <w:rFonts w:ascii="Times New Roman;serif" w:hAnsi="Times New Roman;serif"/>
                <w:b w:val="false"/>
                <w:color w:val="000000"/>
                <w:sz w:val="14"/>
              </w:rPr>
            </w:pPr>
            <w:r>
              <w:rPr>
                <w:rFonts w:ascii="Times New Roman;serif" w:hAnsi="Times New Roman;serif"/>
                <w:b w:val="false"/>
                <w:color w:val="000000"/>
                <w:sz w:val="14"/>
              </w:rPr>
              <w:t>(25,085)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5" w:type="dxa"/>
            <w:gridSpan w:val="2"/>
            <w:tcBorders/>
            <w:shd w:fill="CCEEFF" w:val="clear"/>
            <w:tcMar>
              <w:top w:w="0" w:type="dxa"/>
              <w:left w:w="0" w:type="dxa"/>
              <w:bottom w:w="0" w:type="dxa"/>
              <w:right w:w="0" w:type="dxa"/>
            </w:tcMar>
            <w:vAlign w:val="center"/>
          </w:tcPr>
          <w:p>
            <w:pPr>
              <w:pStyle w:val="TableContents"/>
              <w:bidi w:val="0"/>
              <w:spacing w:lineRule="auto" w:line="252" w:before="0" w:after="283"/>
              <w:jc w:val="right"/>
              <w:rPr>
                <w:rFonts w:ascii="Times New Roman;serif" w:hAnsi="Times New Roman;serif"/>
                <w:b w:val="false"/>
                <w:color w:val="000000"/>
                <w:sz w:val="14"/>
              </w:rPr>
            </w:pPr>
            <w:r>
              <w:rPr>
                <w:rFonts w:ascii="Times New Roman;serif" w:hAnsi="Times New Roman;serif"/>
                <w:b w:val="false"/>
                <w:color w:val="000000"/>
                <w:sz w:val="14"/>
              </w:rPr>
              <w:t>(25,085)</w:t>
            </w:r>
          </w:p>
        </w:tc>
        <w:tc>
          <w:tcPr>
            <w:tcW w:w="2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38" w:type="dxa"/>
            <w:gridSpan w:val="3"/>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serif" w:hAnsi="Times New Roman;serif"/>
                <w:b w:val="false"/>
                <w:color w:val="000000"/>
                <w:sz w:val="14"/>
              </w:rPr>
            </w:pPr>
            <w:r>
              <w:rPr>
                <w:rFonts w:ascii="Times New Roman;serif" w:hAnsi="Times New Roman;serif"/>
                <w:b w:val="false"/>
                <w:color w:val="000000"/>
                <w:sz w:val="14"/>
              </w:rPr>
              <w:t>Other comprehensive loss</w:t>
            </w:r>
          </w:p>
        </w:tc>
        <w:tc>
          <w:tcPr>
            <w:tcW w:w="766" w:type="dxa"/>
            <w:gridSpan w:val="3"/>
            <w:tcBorders/>
            <w:shd w:fill="FFFFFF" w:val="clear"/>
            <w:tcMar>
              <w:top w:w="0" w:type="dxa"/>
              <w:left w:w="0" w:type="dxa"/>
              <w:bottom w:w="0" w:type="dxa"/>
              <w:right w:w="0" w:type="dxa"/>
            </w:tcMar>
            <w:vAlign w:val="center"/>
          </w:tcPr>
          <w:p>
            <w:pPr>
              <w:pStyle w:val="TableContents"/>
              <w:bidi w:val="0"/>
              <w:spacing w:lineRule="auto" w:line="252"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7" w:type="dxa"/>
            <w:gridSpan w:val="2"/>
            <w:tcBorders/>
            <w:shd w:fill="FFFFFF" w:val="clear"/>
            <w:tcMar>
              <w:top w:w="0" w:type="dxa"/>
              <w:left w:w="0" w:type="dxa"/>
              <w:bottom w:w="0" w:type="dxa"/>
              <w:right w:w="0" w:type="dxa"/>
            </w:tcMar>
            <w:vAlign w:val="center"/>
          </w:tcPr>
          <w:p>
            <w:pPr>
              <w:pStyle w:val="TableContents"/>
              <w:bidi w:val="0"/>
              <w:spacing w:lineRule="auto" w:line="252"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0" w:type="dxa"/>
            <w:gridSpan w:val="2"/>
            <w:tcBorders/>
            <w:shd w:fill="FFFFFF" w:val="clear"/>
            <w:tcMar>
              <w:top w:w="0" w:type="dxa"/>
              <w:left w:w="0" w:type="dxa"/>
              <w:bottom w:w="0" w:type="dxa"/>
              <w:right w:w="0" w:type="dxa"/>
            </w:tcMar>
            <w:vAlign w:val="center"/>
          </w:tcPr>
          <w:p>
            <w:pPr>
              <w:pStyle w:val="TableContents"/>
              <w:bidi w:val="0"/>
              <w:spacing w:lineRule="auto" w:line="252" w:before="0" w:after="283"/>
              <w:jc w:val="right"/>
              <w:rPr>
                <w:color w:val="000000"/>
              </w:rPr>
            </w:pPr>
            <w:r>
              <w:rPr>
                <w:color w:val="000000"/>
              </w:rPr>
              <w:t>—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4" w:type="dxa"/>
            <w:gridSpan w:val="2"/>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serif" w:hAnsi="Times New Roman;serif"/>
                <w:b w:val="false"/>
                <w:color w:val="000000"/>
                <w:sz w:val="14"/>
              </w:rPr>
            </w:pPr>
            <w:r>
              <w:rPr>
                <w:rFonts w:ascii="Times New Roman;serif" w:hAnsi="Times New Roman;serif"/>
                <w:b w:val="false"/>
                <w:color w:val="000000"/>
                <w:sz w:val="14"/>
              </w:rPr>
              <w:t>(126)</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52"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5" w:type="dxa"/>
            <w:gridSpan w:val="2"/>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serif" w:hAnsi="Times New Roman;serif"/>
                <w:b w:val="false"/>
                <w:color w:val="000000"/>
                <w:sz w:val="14"/>
              </w:rPr>
            </w:pPr>
            <w:r>
              <w:rPr>
                <w:rFonts w:ascii="Times New Roman;serif" w:hAnsi="Times New Roman;serif"/>
                <w:b w:val="false"/>
                <w:color w:val="000000"/>
                <w:sz w:val="14"/>
              </w:rPr>
              <w:t>(126)</w:t>
            </w:r>
          </w:p>
        </w:tc>
        <w:tc>
          <w:tcPr>
            <w:tcW w:w="2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38" w:type="dxa"/>
            <w:gridSpan w:val="3"/>
            <w:tcBorders/>
            <w:shd w:fill="CCEEFF" w:val="clear"/>
            <w:tcMar>
              <w:top w:w="0" w:type="dxa"/>
              <w:left w:w="0" w:type="dxa"/>
              <w:bottom w:w="0" w:type="dxa"/>
              <w:right w:w="0" w:type="dxa"/>
            </w:tcMar>
            <w:vAlign w:val="center"/>
          </w:tcPr>
          <w:p>
            <w:pPr>
              <w:pStyle w:val="TableContents"/>
              <w:bidi w:val="0"/>
              <w:spacing w:lineRule="auto" w:line="252" w:before="0" w:after="283"/>
              <w:jc w:val="left"/>
              <w:rPr>
                <w:rFonts w:ascii="Times New Roman;serif" w:hAnsi="Times New Roman;serif"/>
                <w:b/>
                <w:color w:val="000000"/>
                <w:sz w:val="14"/>
              </w:rPr>
            </w:pPr>
            <w:r>
              <w:rPr>
                <w:rFonts w:ascii="Times New Roman;serif" w:hAnsi="Times New Roman;serif"/>
                <w:b/>
                <w:color w:val="000000"/>
                <w:sz w:val="14"/>
              </w:rPr>
              <w:t>BALANCE—March 31, 2026</w:t>
            </w:r>
          </w:p>
        </w:tc>
        <w:tc>
          <w:tcPr>
            <w:tcW w:w="76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52" w:before="0" w:after="283"/>
              <w:jc w:val="right"/>
              <w:rPr>
                <w:rFonts w:ascii="Times New Roman;serif" w:hAnsi="Times New Roman;serif"/>
                <w:b w:val="false"/>
                <w:color w:val="000000"/>
                <w:sz w:val="14"/>
              </w:rPr>
            </w:pPr>
            <w:r>
              <w:rPr>
                <w:rFonts w:ascii="Times New Roman;serif" w:hAnsi="Times New Roman;serif"/>
                <w:b w:val="false"/>
                <w:color w:val="000000"/>
                <w:sz w:val="14"/>
              </w:rPr>
              <w:t>96,951,234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52"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28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52" w:before="0" w:after="283"/>
              <w:jc w:val="right"/>
              <w:rPr>
                <w:rFonts w:ascii="Times New Roman;serif" w:hAnsi="Times New Roman;serif"/>
                <w:b w:val="false"/>
                <w:color w:val="000000"/>
                <w:sz w:val="14"/>
              </w:rPr>
            </w:pPr>
            <w:r>
              <w:rPr>
                <w:rFonts w:ascii="Times New Roman;serif" w:hAnsi="Times New Roman;serif"/>
                <w:b w:val="false"/>
                <w:color w:val="000000"/>
                <w:sz w:val="14"/>
              </w:rPr>
              <w:t>10 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52"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68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52" w:before="0" w:after="283"/>
              <w:jc w:val="right"/>
              <w:rPr>
                <w:rFonts w:ascii="Times New Roman;serif" w:hAnsi="Times New Roman;serif"/>
                <w:b w:val="false"/>
                <w:color w:val="000000"/>
                <w:sz w:val="14"/>
              </w:rPr>
            </w:pPr>
            <w:r>
              <w:rPr>
                <w:rFonts w:ascii="Times New Roman;serif" w:hAnsi="Times New Roman;serif"/>
                <w:b w:val="false"/>
                <w:color w:val="000000"/>
                <w:sz w:val="14"/>
              </w:rPr>
              <w:t>723,631 </w:t>
            </w:r>
          </w:p>
        </w:tc>
        <w:tc>
          <w:tcPr>
            <w:tcW w:w="12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52"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94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52" w:before="0" w:after="283"/>
              <w:jc w:val="right"/>
              <w:rPr>
                <w:rFonts w:ascii="Times New Roman;serif" w:hAnsi="Times New Roman;serif"/>
                <w:b w:val="false"/>
                <w:color w:val="000000"/>
                <w:sz w:val="14"/>
              </w:rPr>
            </w:pPr>
            <w:r>
              <w:rPr>
                <w:rFonts w:ascii="Times New Roman;serif" w:hAnsi="Times New Roman;serif"/>
                <w:b w:val="false"/>
                <w:color w:val="000000"/>
                <w:sz w:val="14"/>
              </w:rPr>
              <w:t>(23)</w:t>
            </w:r>
          </w:p>
        </w:tc>
        <w:tc>
          <w:tcPr>
            <w:tcW w:w="28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52"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64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52" w:before="0" w:after="283"/>
              <w:jc w:val="right"/>
              <w:rPr>
                <w:rFonts w:ascii="Times New Roman;serif" w:hAnsi="Times New Roman;serif"/>
                <w:b w:val="false"/>
                <w:color w:val="000000"/>
                <w:sz w:val="14"/>
              </w:rPr>
            </w:pPr>
            <w:r>
              <w:rPr>
                <w:rFonts w:ascii="Times New Roman;serif" w:hAnsi="Times New Roman;serif"/>
                <w:b w:val="false"/>
                <w:color w:val="000000"/>
                <w:sz w:val="14"/>
              </w:rPr>
              <w:t>(621,600)</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52"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80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52" w:before="0" w:after="283"/>
              <w:jc w:val="right"/>
              <w:rPr>
                <w:rFonts w:ascii="Times New Roman;serif" w:hAnsi="Times New Roman;serif"/>
                <w:b w:val="false"/>
                <w:color w:val="000000"/>
                <w:sz w:val="14"/>
              </w:rPr>
            </w:pPr>
            <w:r>
              <w:rPr>
                <w:rFonts w:ascii="Times New Roman;serif" w:hAnsi="Times New Roman;serif"/>
                <w:b w:val="false"/>
                <w:color w:val="000000"/>
                <w:sz w:val="14"/>
              </w:rPr>
              <w:t>102,018 </w:t>
            </w:r>
          </w:p>
        </w:tc>
        <w:tc>
          <w:tcPr>
            <w:tcW w:w="2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3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00"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5"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4"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38" w:type="dxa"/>
            <w:gridSpan w:val="3"/>
            <w:tcBorders/>
            <w:shd w:fill="CCEEFF" w:val="clear"/>
            <w:tcMar>
              <w:top w:w="0" w:type="dxa"/>
              <w:left w:w="0" w:type="dxa"/>
              <w:bottom w:w="0" w:type="dxa"/>
              <w:right w:w="0" w:type="dxa"/>
            </w:tcMar>
            <w:vAlign w:val="center"/>
          </w:tcPr>
          <w:p>
            <w:pPr>
              <w:pStyle w:val="TableContents"/>
              <w:bidi w:val="0"/>
              <w:spacing w:lineRule="auto" w:line="252" w:before="0" w:after="283"/>
              <w:jc w:val="left"/>
              <w:rPr>
                <w:rFonts w:ascii="Times New Roman;serif" w:hAnsi="Times New Roman;serif"/>
                <w:b/>
                <w:color w:val="000000"/>
                <w:sz w:val="14"/>
              </w:rPr>
            </w:pPr>
            <w:r>
              <w:rPr>
                <w:rFonts w:ascii="Times New Roman;serif" w:hAnsi="Times New Roman;serif"/>
                <w:b/>
                <w:color w:val="000000"/>
                <w:sz w:val="14"/>
              </w:rPr>
              <w:t>BALANCE—December 31, 2024</w:t>
            </w:r>
          </w:p>
        </w:tc>
        <w:tc>
          <w:tcPr>
            <w:tcW w:w="766" w:type="dxa"/>
            <w:gridSpan w:val="3"/>
            <w:tcBorders/>
            <w:shd w:fill="CCEEFF" w:val="clear"/>
            <w:tcMar>
              <w:top w:w="0" w:type="dxa"/>
              <w:left w:w="0" w:type="dxa"/>
              <w:bottom w:w="0" w:type="dxa"/>
              <w:right w:w="0" w:type="dxa"/>
            </w:tcMar>
            <w:vAlign w:val="center"/>
          </w:tcPr>
          <w:p>
            <w:pPr>
              <w:pStyle w:val="TableContents"/>
              <w:bidi w:val="0"/>
              <w:spacing w:lineRule="auto" w:line="252" w:before="0" w:after="283"/>
              <w:jc w:val="right"/>
              <w:rPr>
                <w:rFonts w:ascii="Times New Roman;serif" w:hAnsi="Times New Roman;serif"/>
                <w:b w:val="false"/>
                <w:color w:val="000000"/>
                <w:sz w:val="14"/>
              </w:rPr>
            </w:pPr>
            <w:r>
              <w:rPr>
                <w:rFonts w:ascii="Times New Roman;serif" w:hAnsi="Times New Roman;serif"/>
                <w:b w:val="false"/>
                <w:color w:val="000000"/>
                <w:sz w:val="14"/>
              </w:rPr>
              <w:t>92,378,577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CCEEFF" w:val="clear"/>
            <w:tcMar>
              <w:top w:w="0" w:type="dxa"/>
              <w:left w:w="0" w:type="dxa"/>
              <w:bottom w:w="0" w:type="dxa"/>
              <w:right w:w="0" w:type="dxa"/>
            </w:tcMar>
            <w:vAlign w:val="center"/>
          </w:tcPr>
          <w:p>
            <w:pPr>
              <w:pStyle w:val="TableContents"/>
              <w:bidi w:val="0"/>
              <w:spacing w:lineRule="auto" w:line="252"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286" w:type="dxa"/>
            <w:tcBorders/>
            <w:shd w:fill="CCEEFF" w:val="clear"/>
            <w:tcMar>
              <w:top w:w="0" w:type="dxa"/>
              <w:left w:w="0" w:type="dxa"/>
              <w:bottom w:w="0" w:type="dxa"/>
              <w:right w:w="0" w:type="dxa"/>
            </w:tcMar>
            <w:vAlign w:val="center"/>
          </w:tcPr>
          <w:p>
            <w:pPr>
              <w:pStyle w:val="TableContents"/>
              <w:bidi w:val="0"/>
              <w:spacing w:lineRule="auto" w:line="252" w:before="0" w:after="283"/>
              <w:jc w:val="right"/>
              <w:rPr>
                <w:rFonts w:ascii="Times New Roman;serif" w:hAnsi="Times New Roman;serif"/>
                <w:b w:val="false"/>
                <w:color w:val="000000"/>
                <w:sz w:val="14"/>
              </w:rPr>
            </w:pPr>
            <w:r>
              <w:rPr>
                <w:rFonts w:ascii="Times New Roman;serif" w:hAnsi="Times New Roman;serif"/>
                <w:b w:val="false"/>
                <w:color w:val="000000"/>
                <w:sz w:val="14"/>
              </w:rPr>
              <w:t>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 w:type="dxa"/>
            <w:tcBorders/>
            <w:shd w:fill="CCEEFF" w:val="clear"/>
            <w:tcMar>
              <w:top w:w="0" w:type="dxa"/>
              <w:left w:w="0" w:type="dxa"/>
              <w:bottom w:w="0" w:type="dxa"/>
              <w:right w:w="0" w:type="dxa"/>
            </w:tcMar>
            <w:vAlign w:val="center"/>
          </w:tcPr>
          <w:p>
            <w:pPr>
              <w:pStyle w:val="TableContents"/>
              <w:bidi w:val="0"/>
              <w:spacing w:lineRule="auto" w:line="252"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688" w:type="dxa"/>
            <w:tcBorders/>
            <w:shd w:fill="CCEEFF" w:val="clear"/>
            <w:tcMar>
              <w:top w:w="0" w:type="dxa"/>
              <w:left w:w="0" w:type="dxa"/>
              <w:bottom w:w="0" w:type="dxa"/>
              <w:right w:w="0" w:type="dxa"/>
            </w:tcMar>
            <w:vAlign w:val="center"/>
          </w:tcPr>
          <w:p>
            <w:pPr>
              <w:pStyle w:val="TableContents"/>
              <w:bidi w:val="0"/>
              <w:spacing w:lineRule="auto" w:line="252" w:before="0" w:after="283"/>
              <w:jc w:val="right"/>
              <w:rPr>
                <w:rFonts w:ascii="Times New Roman;serif" w:hAnsi="Times New Roman;serif"/>
                <w:b w:val="false"/>
                <w:color w:val="000000"/>
                <w:sz w:val="14"/>
              </w:rPr>
            </w:pPr>
            <w:r>
              <w:rPr>
                <w:rFonts w:ascii="Times New Roman;serif" w:hAnsi="Times New Roman;serif"/>
                <w:b w:val="false"/>
                <w:color w:val="000000"/>
                <w:sz w:val="14"/>
              </w:rPr>
              <w:t>701,077 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1" w:type="dxa"/>
            <w:tcBorders/>
            <w:shd w:fill="CCEEFF" w:val="clear"/>
            <w:tcMar>
              <w:top w:w="0" w:type="dxa"/>
              <w:left w:w="0" w:type="dxa"/>
              <w:bottom w:w="0" w:type="dxa"/>
              <w:right w:w="0" w:type="dxa"/>
            </w:tcMar>
            <w:vAlign w:val="center"/>
          </w:tcPr>
          <w:p>
            <w:pPr>
              <w:pStyle w:val="TableContents"/>
              <w:bidi w:val="0"/>
              <w:spacing w:lineRule="auto" w:line="252"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943" w:type="dxa"/>
            <w:tcBorders/>
            <w:shd w:fill="CCEEFF" w:val="clear"/>
            <w:tcMar>
              <w:top w:w="0" w:type="dxa"/>
              <w:left w:w="0" w:type="dxa"/>
              <w:bottom w:w="0" w:type="dxa"/>
              <w:right w:w="0" w:type="dxa"/>
            </w:tcMar>
            <w:vAlign w:val="center"/>
          </w:tcPr>
          <w:p>
            <w:pPr>
              <w:pStyle w:val="TableContents"/>
              <w:bidi w:val="0"/>
              <w:spacing w:lineRule="auto" w:line="252" w:before="0" w:after="283"/>
              <w:jc w:val="right"/>
              <w:rPr>
                <w:rFonts w:ascii="Times New Roman;serif" w:hAnsi="Times New Roman;serif"/>
                <w:b w:val="false"/>
                <w:color w:val="000000"/>
                <w:sz w:val="14"/>
              </w:rPr>
            </w:pPr>
            <w:r>
              <w:rPr>
                <w:rFonts w:ascii="Times New Roman;serif" w:hAnsi="Times New Roman;serif"/>
                <w:b w:val="false"/>
                <w:color w:val="000000"/>
                <w:sz w:val="14"/>
              </w:rPr>
              <w:t>255 </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CCEEFF" w:val="clear"/>
            <w:tcMar>
              <w:top w:w="0" w:type="dxa"/>
              <w:left w:w="0" w:type="dxa"/>
              <w:bottom w:w="0" w:type="dxa"/>
              <w:right w:w="0" w:type="dxa"/>
            </w:tcMar>
            <w:vAlign w:val="center"/>
          </w:tcPr>
          <w:p>
            <w:pPr>
              <w:pStyle w:val="TableContents"/>
              <w:bidi w:val="0"/>
              <w:spacing w:lineRule="auto" w:line="252"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645" w:type="dxa"/>
            <w:tcBorders/>
            <w:shd w:fill="CCEEFF" w:val="clear"/>
            <w:tcMar>
              <w:top w:w="0" w:type="dxa"/>
              <w:left w:w="0" w:type="dxa"/>
              <w:bottom w:w="0" w:type="dxa"/>
              <w:right w:w="0" w:type="dxa"/>
            </w:tcMar>
            <w:vAlign w:val="center"/>
          </w:tcPr>
          <w:p>
            <w:pPr>
              <w:pStyle w:val="TableContents"/>
              <w:bidi w:val="0"/>
              <w:spacing w:lineRule="auto" w:line="252" w:before="0" w:after="283"/>
              <w:jc w:val="right"/>
              <w:rPr>
                <w:rFonts w:ascii="Times New Roman;serif" w:hAnsi="Times New Roman;serif"/>
                <w:b w:val="false"/>
                <w:color w:val="000000"/>
                <w:sz w:val="14"/>
              </w:rPr>
            </w:pPr>
            <w:r>
              <w:rPr>
                <w:rFonts w:ascii="Times New Roman;serif" w:hAnsi="Times New Roman;serif"/>
                <w:b w:val="false"/>
                <w:color w:val="000000"/>
                <w:sz w:val="14"/>
              </w:rPr>
              <w:t>(448,390)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 w:type="dxa"/>
            <w:tcBorders/>
            <w:shd w:fill="CCEEFF" w:val="clear"/>
            <w:tcMar>
              <w:top w:w="0" w:type="dxa"/>
              <w:left w:w="0" w:type="dxa"/>
              <w:bottom w:w="0" w:type="dxa"/>
              <w:right w:w="0" w:type="dxa"/>
            </w:tcMar>
            <w:vAlign w:val="center"/>
          </w:tcPr>
          <w:p>
            <w:pPr>
              <w:pStyle w:val="TableContents"/>
              <w:bidi w:val="0"/>
              <w:spacing w:lineRule="auto" w:line="252"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801" w:type="dxa"/>
            <w:tcBorders/>
            <w:shd w:fill="CCEEFF" w:val="clear"/>
            <w:tcMar>
              <w:top w:w="0" w:type="dxa"/>
              <w:left w:w="0" w:type="dxa"/>
              <w:bottom w:w="0" w:type="dxa"/>
              <w:right w:w="0" w:type="dxa"/>
            </w:tcMar>
            <w:vAlign w:val="center"/>
          </w:tcPr>
          <w:p>
            <w:pPr>
              <w:pStyle w:val="TableContents"/>
              <w:bidi w:val="0"/>
              <w:spacing w:lineRule="auto" w:line="252" w:before="0" w:after="283"/>
              <w:jc w:val="right"/>
              <w:rPr>
                <w:rFonts w:ascii="Times New Roman;serif" w:hAnsi="Times New Roman;serif"/>
                <w:b w:val="false"/>
                <w:color w:val="000000"/>
                <w:sz w:val="14"/>
              </w:rPr>
            </w:pPr>
            <w:r>
              <w:rPr>
                <w:rFonts w:ascii="Times New Roman;serif" w:hAnsi="Times New Roman;serif"/>
                <w:b w:val="false"/>
                <w:color w:val="000000"/>
                <w:sz w:val="14"/>
              </w:rPr>
              <w:t>252,951 </w:t>
            </w:r>
          </w:p>
        </w:tc>
        <w:tc>
          <w:tcPr>
            <w:tcW w:w="2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38" w:type="dxa"/>
            <w:gridSpan w:val="3"/>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serif" w:hAnsi="Times New Roman;serif"/>
                <w:b w:val="false"/>
                <w:color w:val="000000"/>
                <w:sz w:val="14"/>
              </w:rPr>
            </w:pPr>
            <w:r>
              <w:rPr>
                <w:rFonts w:ascii="Times New Roman;serif" w:hAnsi="Times New Roman;serif"/>
                <w:b w:val="false"/>
                <w:color w:val="000000"/>
                <w:sz w:val="14"/>
              </w:rPr>
              <w:t>Issuances of common stock under ESPP</w:t>
            </w:r>
          </w:p>
        </w:tc>
        <w:tc>
          <w:tcPr>
            <w:tcW w:w="766" w:type="dxa"/>
            <w:gridSpan w:val="3"/>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serif" w:hAnsi="Times New Roman;serif"/>
                <w:b w:val="false"/>
                <w:color w:val="000000"/>
                <w:sz w:val="14"/>
              </w:rPr>
            </w:pPr>
            <w:r>
              <w:rPr>
                <w:rFonts w:ascii="Times New Roman;serif" w:hAnsi="Times New Roman;serif"/>
                <w:b w:val="false"/>
                <w:color w:val="000000"/>
                <w:sz w:val="14"/>
              </w:rPr>
              <w:t>408,282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7" w:type="dxa"/>
            <w:gridSpan w:val="2"/>
            <w:tcBorders/>
            <w:shd w:fill="FFFFFF" w:val="clear"/>
            <w:tcMar>
              <w:top w:w="0" w:type="dxa"/>
              <w:left w:w="0" w:type="dxa"/>
              <w:bottom w:w="0" w:type="dxa"/>
              <w:right w:w="0" w:type="dxa"/>
            </w:tcMar>
            <w:vAlign w:val="center"/>
          </w:tcPr>
          <w:p>
            <w:pPr>
              <w:pStyle w:val="TableContents"/>
              <w:bidi w:val="0"/>
              <w:spacing w:lineRule="auto" w:line="252"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0" w:type="dxa"/>
            <w:gridSpan w:val="2"/>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serif" w:hAnsi="Times New Roman;serif"/>
                <w:b w:val="false"/>
                <w:color w:val="000000"/>
                <w:sz w:val="14"/>
              </w:rPr>
            </w:pPr>
            <w:r>
              <w:rPr>
                <w:rFonts w:ascii="Times New Roman;serif" w:hAnsi="Times New Roman;serif"/>
                <w:b w:val="false"/>
                <w:color w:val="000000"/>
                <w:sz w:val="14"/>
              </w:rPr>
              <w:t>468 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4" w:type="dxa"/>
            <w:gridSpan w:val="2"/>
            <w:tcBorders/>
            <w:shd w:fill="FFFFFF" w:val="clear"/>
            <w:tcMar>
              <w:top w:w="0" w:type="dxa"/>
              <w:left w:w="0" w:type="dxa"/>
              <w:bottom w:w="0" w:type="dxa"/>
              <w:right w:w="0" w:type="dxa"/>
            </w:tcMar>
            <w:vAlign w:val="center"/>
          </w:tcPr>
          <w:p>
            <w:pPr>
              <w:pStyle w:val="TableContents"/>
              <w:bidi w:val="0"/>
              <w:spacing w:lineRule="auto" w:line="252" w:before="0" w:after="283"/>
              <w:jc w:val="right"/>
              <w:rPr>
                <w:color w:val="000000"/>
              </w:rPr>
            </w:pPr>
            <w:r>
              <w:rPr>
                <w:color w:val="000000"/>
              </w:rPr>
              <w:t>—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52"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5" w:type="dxa"/>
            <w:gridSpan w:val="2"/>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serif" w:hAnsi="Times New Roman;serif"/>
                <w:b w:val="false"/>
                <w:color w:val="000000"/>
                <w:sz w:val="14"/>
              </w:rPr>
            </w:pPr>
            <w:r>
              <w:rPr>
                <w:rFonts w:ascii="Times New Roman;serif" w:hAnsi="Times New Roman;serif"/>
                <w:b w:val="false"/>
                <w:color w:val="000000"/>
                <w:sz w:val="14"/>
              </w:rPr>
              <w:t>468 </w:t>
            </w:r>
          </w:p>
        </w:tc>
        <w:tc>
          <w:tcPr>
            <w:tcW w:w="2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38" w:type="dxa"/>
            <w:gridSpan w:val="3"/>
            <w:tcBorders/>
            <w:shd w:fill="CCEEFF" w:val="clear"/>
            <w:tcMar>
              <w:top w:w="0" w:type="dxa"/>
              <w:left w:w="0" w:type="dxa"/>
              <w:bottom w:w="0" w:type="dxa"/>
              <w:right w:w="0" w:type="dxa"/>
            </w:tcMar>
            <w:vAlign w:val="center"/>
          </w:tcPr>
          <w:p>
            <w:pPr>
              <w:pStyle w:val="TableContents"/>
              <w:bidi w:val="0"/>
              <w:spacing w:lineRule="auto" w:line="252" w:before="0" w:after="283"/>
              <w:jc w:val="left"/>
              <w:rPr>
                <w:rFonts w:ascii="Times New Roman;serif" w:hAnsi="Times New Roman;serif"/>
                <w:b w:val="false"/>
                <w:color w:val="000000"/>
                <w:sz w:val="14"/>
              </w:rPr>
            </w:pPr>
            <w:r>
              <w:rPr>
                <w:rFonts w:ascii="Times New Roman;serif" w:hAnsi="Times New Roman;serif"/>
                <w:b w:val="false"/>
                <w:color w:val="000000"/>
                <w:sz w:val="14"/>
              </w:rPr>
              <w:t>Issuances of common stock upon vesting of RSUs</w:t>
            </w:r>
          </w:p>
        </w:tc>
        <w:tc>
          <w:tcPr>
            <w:tcW w:w="766" w:type="dxa"/>
            <w:gridSpan w:val="3"/>
            <w:tcBorders/>
            <w:shd w:fill="CCEEFF" w:val="clear"/>
            <w:tcMar>
              <w:top w:w="0" w:type="dxa"/>
              <w:left w:w="0" w:type="dxa"/>
              <w:bottom w:w="0" w:type="dxa"/>
              <w:right w:w="0" w:type="dxa"/>
            </w:tcMar>
            <w:vAlign w:val="center"/>
          </w:tcPr>
          <w:p>
            <w:pPr>
              <w:pStyle w:val="TableContents"/>
              <w:bidi w:val="0"/>
              <w:spacing w:lineRule="auto" w:line="252" w:before="0" w:after="283"/>
              <w:jc w:val="right"/>
              <w:rPr>
                <w:rFonts w:ascii="Times New Roman;serif" w:hAnsi="Times New Roman;serif"/>
                <w:b w:val="false"/>
                <w:color w:val="000000"/>
                <w:sz w:val="14"/>
              </w:rPr>
            </w:pPr>
            <w:r>
              <w:rPr>
                <w:rFonts w:ascii="Times New Roman;serif" w:hAnsi="Times New Roman;serif"/>
                <w:b w:val="false"/>
                <w:color w:val="000000"/>
                <w:sz w:val="14"/>
              </w:rPr>
              <w:t>217,743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7" w:type="dxa"/>
            <w:gridSpan w:val="2"/>
            <w:tcBorders/>
            <w:shd w:fill="CCEEFF" w:val="clear"/>
            <w:tcMar>
              <w:top w:w="0" w:type="dxa"/>
              <w:left w:w="0" w:type="dxa"/>
              <w:bottom w:w="0" w:type="dxa"/>
              <w:right w:w="0" w:type="dxa"/>
            </w:tcMar>
            <w:vAlign w:val="center"/>
          </w:tcPr>
          <w:p>
            <w:pPr>
              <w:pStyle w:val="TableContents"/>
              <w:bidi w:val="0"/>
              <w:spacing w:lineRule="auto" w:line="252"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0" w:type="dxa"/>
            <w:gridSpan w:val="2"/>
            <w:tcBorders/>
            <w:shd w:fill="CCEEFF" w:val="clear"/>
            <w:tcMar>
              <w:top w:w="0" w:type="dxa"/>
              <w:left w:w="0" w:type="dxa"/>
              <w:bottom w:w="0" w:type="dxa"/>
              <w:right w:w="0" w:type="dxa"/>
            </w:tcMar>
            <w:vAlign w:val="center"/>
          </w:tcPr>
          <w:p>
            <w:pPr>
              <w:pStyle w:val="TableContents"/>
              <w:bidi w:val="0"/>
              <w:spacing w:lineRule="auto" w:line="252" w:before="0" w:after="283"/>
              <w:jc w:val="right"/>
              <w:rPr>
                <w:color w:val="000000"/>
              </w:rPr>
            </w:pPr>
            <w:r>
              <w:rPr>
                <w:color w:val="000000"/>
              </w:rPr>
              <w:t>—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4" w:type="dxa"/>
            <w:gridSpan w:val="2"/>
            <w:tcBorders/>
            <w:shd w:fill="CCEEFF" w:val="clear"/>
            <w:tcMar>
              <w:top w:w="0" w:type="dxa"/>
              <w:left w:w="0" w:type="dxa"/>
              <w:bottom w:w="0" w:type="dxa"/>
              <w:right w:w="0" w:type="dxa"/>
            </w:tcMar>
            <w:vAlign w:val="center"/>
          </w:tcPr>
          <w:p>
            <w:pPr>
              <w:pStyle w:val="TableContents"/>
              <w:bidi w:val="0"/>
              <w:spacing w:lineRule="auto" w:line="252" w:before="0" w:after="283"/>
              <w:jc w:val="right"/>
              <w:rPr>
                <w:color w:val="000000"/>
              </w:rPr>
            </w:pPr>
            <w:r>
              <w:rPr>
                <w:color w:val="000000"/>
              </w:rPr>
              <w:t>— </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52"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5" w:type="dxa"/>
            <w:gridSpan w:val="2"/>
            <w:tcBorders/>
            <w:shd w:fill="CCEEFF" w:val="clear"/>
            <w:tcMar>
              <w:top w:w="0" w:type="dxa"/>
              <w:left w:w="0" w:type="dxa"/>
              <w:bottom w:w="0" w:type="dxa"/>
              <w:right w:w="0" w:type="dxa"/>
            </w:tcMar>
            <w:vAlign w:val="center"/>
          </w:tcPr>
          <w:p>
            <w:pPr>
              <w:pStyle w:val="TableContents"/>
              <w:bidi w:val="0"/>
              <w:spacing w:lineRule="auto" w:line="252" w:before="0" w:after="283"/>
              <w:jc w:val="right"/>
              <w:rPr>
                <w:color w:val="000000"/>
              </w:rPr>
            </w:pPr>
            <w:r>
              <w:rPr>
                <w:color w:val="000000"/>
              </w:rPr>
              <w:t>— </w:t>
            </w:r>
          </w:p>
        </w:tc>
        <w:tc>
          <w:tcPr>
            <w:tcW w:w="2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38" w:type="dxa"/>
            <w:gridSpan w:val="3"/>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serif" w:hAnsi="Times New Roman;serif"/>
                <w:b w:val="false"/>
                <w:color w:val="000000"/>
                <w:sz w:val="14"/>
              </w:rPr>
            </w:pPr>
            <w:r>
              <w:rPr>
                <w:rFonts w:ascii="Times New Roman;serif" w:hAnsi="Times New Roman;serif"/>
                <w:b w:val="false"/>
                <w:color w:val="000000"/>
                <w:sz w:val="14"/>
              </w:rPr>
              <w:t>Stock-based compensation expense</w:t>
            </w:r>
          </w:p>
        </w:tc>
        <w:tc>
          <w:tcPr>
            <w:tcW w:w="766" w:type="dxa"/>
            <w:gridSpan w:val="3"/>
            <w:tcBorders/>
            <w:shd w:fill="FFFFFF" w:val="clear"/>
            <w:tcMar>
              <w:top w:w="0" w:type="dxa"/>
              <w:left w:w="0" w:type="dxa"/>
              <w:bottom w:w="0" w:type="dxa"/>
              <w:right w:w="0" w:type="dxa"/>
            </w:tcMar>
            <w:vAlign w:val="center"/>
          </w:tcPr>
          <w:p>
            <w:pPr>
              <w:pStyle w:val="TableContents"/>
              <w:bidi w:val="0"/>
              <w:spacing w:lineRule="auto" w:line="252"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7" w:type="dxa"/>
            <w:gridSpan w:val="2"/>
            <w:tcBorders/>
            <w:shd w:fill="FFFFFF" w:val="clear"/>
            <w:tcMar>
              <w:top w:w="0" w:type="dxa"/>
              <w:left w:w="0" w:type="dxa"/>
              <w:bottom w:w="0" w:type="dxa"/>
              <w:right w:w="0" w:type="dxa"/>
            </w:tcMar>
            <w:vAlign w:val="center"/>
          </w:tcPr>
          <w:p>
            <w:pPr>
              <w:pStyle w:val="TableContents"/>
              <w:bidi w:val="0"/>
              <w:spacing w:lineRule="auto" w:line="252"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0" w:type="dxa"/>
            <w:gridSpan w:val="2"/>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serif" w:hAnsi="Times New Roman;serif"/>
                <w:b w:val="false"/>
                <w:color w:val="000000"/>
                <w:sz w:val="14"/>
              </w:rPr>
            </w:pPr>
            <w:r>
              <w:rPr>
                <w:rFonts w:ascii="Times New Roman;serif" w:hAnsi="Times New Roman;serif"/>
                <w:b w:val="false"/>
                <w:color w:val="000000"/>
                <w:sz w:val="14"/>
              </w:rPr>
              <w:t>3,882 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4" w:type="dxa"/>
            <w:gridSpan w:val="2"/>
            <w:tcBorders/>
            <w:shd w:fill="FFFFFF" w:val="clear"/>
            <w:tcMar>
              <w:top w:w="0" w:type="dxa"/>
              <w:left w:w="0" w:type="dxa"/>
              <w:bottom w:w="0" w:type="dxa"/>
              <w:right w:w="0" w:type="dxa"/>
            </w:tcMar>
            <w:vAlign w:val="center"/>
          </w:tcPr>
          <w:p>
            <w:pPr>
              <w:pStyle w:val="TableContents"/>
              <w:bidi w:val="0"/>
              <w:spacing w:lineRule="auto" w:line="252" w:before="0" w:after="283"/>
              <w:jc w:val="right"/>
              <w:rPr>
                <w:color w:val="000000"/>
              </w:rPr>
            </w:pPr>
            <w:r>
              <w:rPr>
                <w:color w:val="000000"/>
              </w:rPr>
              <w:t>—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52"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5" w:type="dxa"/>
            <w:gridSpan w:val="2"/>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serif" w:hAnsi="Times New Roman;serif"/>
                <w:b w:val="false"/>
                <w:color w:val="000000"/>
                <w:sz w:val="14"/>
              </w:rPr>
            </w:pPr>
            <w:r>
              <w:rPr>
                <w:rFonts w:ascii="Times New Roman;serif" w:hAnsi="Times New Roman;serif"/>
                <w:b w:val="false"/>
                <w:color w:val="000000"/>
                <w:sz w:val="14"/>
              </w:rPr>
              <w:t>3,882 </w:t>
            </w:r>
          </w:p>
        </w:tc>
        <w:tc>
          <w:tcPr>
            <w:tcW w:w="2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38" w:type="dxa"/>
            <w:gridSpan w:val="3"/>
            <w:tcBorders/>
            <w:shd w:fill="CCEEFF" w:val="clear"/>
            <w:tcMar>
              <w:top w:w="0" w:type="dxa"/>
              <w:left w:w="0" w:type="dxa"/>
              <w:bottom w:w="0" w:type="dxa"/>
              <w:right w:w="0" w:type="dxa"/>
            </w:tcMar>
            <w:vAlign w:val="center"/>
          </w:tcPr>
          <w:p>
            <w:pPr>
              <w:pStyle w:val="TableContents"/>
              <w:bidi w:val="0"/>
              <w:spacing w:lineRule="auto" w:line="252" w:before="0" w:after="283"/>
              <w:jc w:val="left"/>
              <w:rPr>
                <w:rFonts w:ascii="Times New Roman;serif" w:hAnsi="Times New Roman;serif"/>
                <w:b w:val="false"/>
                <w:color w:val="000000"/>
                <w:sz w:val="14"/>
              </w:rPr>
            </w:pPr>
            <w:r>
              <w:rPr>
                <w:rFonts w:ascii="Times New Roman;serif" w:hAnsi="Times New Roman;serif"/>
                <w:b w:val="false"/>
                <w:color w:val="000000"/>
                <w:sz w:val="14"/>
              </w:rPr>
              <w:t>Net loss</w:t>
            </w:r>
          </w:p>
        </w:tc>
        <w:tc>
          <w:tcPr>
            <w:tcW w:w="766" w:type="dxa"/>
            <w:gridSpan w:val="3"/>
            <w:tcBorders/>
            <w:shd w:fill="CCEEFF" w:val="clear"/>
            <w:tcMar>
              <w:top w:w="0" w:type="dxa"/>
              <w:left w:w="0" w:type="dxa"/>
              <w:bottom w:w="0" w:type="dxa"/>
              <w:right w:w="0" w:type="dxa"/>
            </w:tcMar>
            <w:vAlign w:val="center"/>
          </w:tcPr>
          <w:p>
            <w:pPr>
              <w:pStyle w:val="TableContents"/>
              <w:bidi w:val="0"/>
              <w:spacing w:lineRule="auto" w:line="252"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7" w:type="dxa"/>
            <w:gridSpan w:val="2"/>
            <w:tcBorders/>
            <w:shd w:fill="CCEEFF" w:val="clear"/>
            <w:tcMar>
              <w:top w:w="0" w:type="dxa"/>
              <w:left w:w="0" w:type="dxa"/>
              <w:bottom w:w="0" w:type="dxa"/>
              <w:right w:w="0" w:type="dxa"/>
            </w:tcMar>
            <w:vAlign w:val="center"/>
          </w:tcPr>
          <w:p>
            <w:pPr>
              <w:pStyle w:val="TableContents"/>
              <w:bidi w:val="0"/>
              <w:spacing w:lineRule="auto" w:line="252"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0" w:type="dxa"/>
            <w:gridSpan w:val="2"/>
            <w:tcBorders/>
            <w:shd w:fill="CCEEFF" w:val="clear"/>
            <w:tcMar>
              <w:top w:w="0" w:type="dxa"/>
              <w:left w:w="0" w:type="dxa"/>
              <w:bottom w:w="0" w:type="dxa"/>
              <w:right w:w="0" w:type="dxa"/>
            </w:tcMar>
            <w:vAlign w:val="center"/>
          </w:tcPr>
          <w:p>
            <w:pPr>
              <w:pStyle w:val="TableContents"/>
              <w:bidi w:val="0"/>
              <w:spacing w:lineRule="auto" w:line="252" w:before="0" w:after="283"/>
              <w:jc w:val="right"/>
              <w:rPr>
                <w:color w:val="000000"/>
              </w:rPr>
            </w:pPr>
            <w:r>
              <w:rPr>
                <w:color w:val="000000"/>
              </w:rPr>
              <w:t>—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4" w:type="dxa"/>
            <w:gridSpan w:val="2"/>
            <w:tcBorders/>
            <w:shd w:fill="CCEEFF" w:val="clear"/>
            <w:tcMar>
              <w:top w:w="0" w:type="dxa"/>
              <w:left w:w="0" w:type="dxa"/>
              <w:bottom w:w="0" w:type="dxa"/>
              <w:right w:w="0" w:type="dxa"/>
            </w:tcMar>
            <w:vAlign w:val="center"/>
          </w:tcPr>
          <w:p>
            <w:pPr>
              <w:pStyle w:val="TableContents"/>
              <w:bidi w:val="0"/>
              <w:spacing w:lineRule="auto" w:line="252" w:before="0" w:after="283"/>
              <w:jc w:val="right"/>
              <w:rPr>
                <w:color w:val="000000"/>
              </w:rPr>
            </w:pPr>
            <w:r>
              <w:rPr>
                <w:color w:val="000000"/>
              </w:rPr>
              <w:t>— </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52" w:before="0" w:after="283"/>
              <w:jc w:val="right"/>
              <w:rPr>
                <w:rFonts w:ascii="Times New Roman;serif" w:hAnsi="Times New Roman;serif"/>
                <w:b w:val="false"/>
                <w:color w:val="000000"/>
                <w:sz w:val="14"/>
              </w:rPr>
            </w:pPr>
            <w:r>
              <w:rPr>
                <w:rFonts w:ascii="Times New Roman;serif" w:hAnsi="Times New Roman;serif"/>
                <w:b w:val="false"/>
                <w:color w:val="000000"/>
                <w:sz w:val="14"/>
              </w:rPr>
              <w:t>(39,991)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5" w:type="dxa"/>
            <w:gridSpan w:val="2"/>
            <w:tcBorders/>
            <w:shd w:fill="CCEEFF" w:val="clear"/>
            <w:tcMar>
              <w:top w:w="0" w:type="dxa"/>
              <w:left w:w="0" w:type="dxa"/>
              <w:bottom w:w="0" w:type="dxa"/>
              <w:right w:w="0" w:type="dxa"/>
            </w:tcMar>
            <w:vAlign w:val="center"/>
          </w:tcPr>
          <w:p>
            <w:pPr>
              <w:pStyle w:val="TableContents"/>
              <w:bidi w:val="0"/>
              <w:spacing w:lineRule="auto" w:line="252" w:before="0" w:after="283"/>
              <w:jc w:val="right"/>
              <w:rPr>
                <w:rFonts w:ascii="Times New Roman;serif" w:hAnsi="Times New Roman;serif"/>
                <w:b w:val="false"/>
                <w:color w:val="000000"/>
                <w:sz w:val="14"/>
              </w:rPr>
            </w:pPr>
            <w:r>
              <w:rPr>
                <w:rFonts w:ascii="Times New Roman;serif" w:hAnsi="Times New Roman;serif"/>
                <w:b w:val="false"/>
                <w:color w:val="000000"/>
                <w:sz w:val="14"/>
              </w:rPr>
              <w:t>(39,991)</w:t>
            </w:r>
          </w:p>
        </w:tc>
        <w:tc>
          <w:tcPr>
            <w:tcW w:w="2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38" w:type="dxa"/>
            <w:gridSpan w:val="3"/>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serif" w:hAnsi="Times New Roman;serif"/>
                <w:b w:val="false"/>
                <w:color w:val="000000"/>
                <w:sz w:val="14"/>
              </w:rPr>
            </w:pPr>
            <w:r>
              <w:rPr>
                <w:rFonts w:ascii="Times New Roman;serif" w:hAnsi="Times New Roman;serif"/>
                <w:b w:val="false"/>
                <w:color w:val="000000"/>
                <w:sz w:val="14"/>
              </w:rPr>
              <w:t>Other comprehensive loss</w:t>
            </w:r>
          </w:p>
        </w:tc>
        <w:tc>
          <w:tcPr>
            <w:tcW w:w="766" w:type="dxa"/>
            <w:gridSpan w:val="3"/>
            <w:tcBorders/>
            <w:shd w:fill="FFFFFF" w:val="clear"/>
            <w:tcMar>
              <w:top w:w="0" w:type="dxa"/>
              <w:left w:w="0" w:type="dxa"/>
              <w:bottom w:w="0" w:type="dxa"/>
              <w:right w:w="0" w:type="dxa"/>
            </w:tcMar>
            <w:vAlign w:val="center"/>
          </w:tcPr>
          <w:p>
            <w:pPr>
              <w:pStyle w:val="TableContents"/>
              <w:bidi w:val="0"/>
              <w:spacing w:lineRule="auto" w:line="252"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7" w:type="dxa"/>
            <w:gridSpan w:val="2"/>
            <w:tcBorders/>
            <w:shd w:fill="FFFFFF" w:val="clear"/>
            <w:tcMar>
              <w:top w:w="0" w:type="dxa"/>
              <w:left w:w="0" w:type="dxa"/>
              <w:bottom w:w="0" w:type="dxa"/>
              <w:right w:w="0" w:type="dxa"/>
            </w:tcMar>
            <w:vAlign w:val="center"/>
          </w:tcPr>
          <w:p>
            <w:pPr>
              <w:pStyle w:val="TableContents"/>
              <w:bidi w:val="0"/>
              <w:spacing w:lineRule="auto" w:line="252"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0" w:type="dxa"/>
            <w:gridSpan w:val="2"/>
            <w:tcBorders/>
            <w:shd w:fill="FFFFFF" w:val="clear"/>
            <w:tcMar>
              <w:top w:w="0" w:type="dxa"/>
              <w:left w:w="0" w:type="dxa"/>
              <w:bottom w:w="0" w:type="dxa"/>
              <w:right w:w="0" w:type="dxa"/>
            </w:tcMar>
            <w:vAlign w:val="center"/>
          </w:tcPr>
          <w:p>
            <w:pPr>
              <w:pStyle w:val="TableContents"/>
              <w:bidi w:val="0"/>
              <w:spacing w:lineRule="auto" w:line="252" w:before="0" w:after="283"/>
              <w:jc w:val="right"/>
              <w:rPr>
                <w:color w:val="000000"/>
              </w:rPr>
            </w:pPr>
            <w:r>
              <w:rPr>
                <w:color w:val="000000"/>
              </w:rPr>
              <w:t>—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4" w:type="dxa"/>
            <w:gridSpan w:val="2"/>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serif" w:hAnsi="Times New Roman;serif"/>
                <w:b w:val="false"/>
                <w:color w:val="000000"/>
                <w:sz w:val="14"/>
              </w:rPr>
            </w:pPr>
            <w:r>
              <w:rPr>
                <w:rFonts w:ascii="Times New Roman;serif" w:hAnsi="Times New Roman;serif"/>
                <w:b w:val="false"/>
                <w:color w:val="000000"/>
                <w:sz w:val="14"/>
              </w:rPr>
              <w:t>(88)</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52"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5" w:type="dxa"/>
            <w:gridSpan w:val="2"/>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serif" w:hAnsi="Times New Roman;serif"/>
                <w:b w:val="false"/>
                <w:color w:val="000000"/>
                <w:sz w:val="14"/>
              </w:rPr>
            </w:pPr>
            <w:r>
              <w:rPr>
                <w:rFonts w:ascii="Times New Roman;serif" w:hAnsi="Times New Roman;serif"/>
                <w:b w:val="false"/>
                <w:color w:val="000000"/>
                <w:sz w:val="14"/>
              </w:rPr>
              <w:t>(88)</w:t>
            </w:r>
          </w:p>
        </w:tc>
        <w:tc>
          <w:tcPr>
            <w:tcW w:w="2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38" w:type="dxa"/>
            <w:gridSpan w:val="3"/>
            <w:tcBorders/>
            <w:shd w:fill="CCEEFF" w:val="clear"/>
            <w:tcMar>
              <w:top w:w="0" w:type="dxa"/>
              <w:left w:w="0" w:type="dxa"/>
              <w:bottom w:w="0" w:type="dxa"/>
              <w:right w:w="0" w:type="dxa"/>
            </w:tcMar>
            <w:vAlign w:val="center"/>
          </w:tcPr>
          <w:p>
            <w:pPr>
              <w:pStyle w:val="TableContents"/>
              <w:bidi w:val="0"/>
              <w:spacing w:lineRule="auto" w:line="252" w:before="0" w:after="283"/>
              <w:jc w:val="left"/>
              <w:rPr>
                <w:rFonts w:ascii="Times New Roman;serif" w:hAnsi="Times New Roman;serif"/>
                <w:b/>
                <w:color w:val="000000"/>
                <w:sz w:val="14"/>
              </w:rPr>
            </w:pPr>
            <w:r>
              <w:rPr>
                <w:rFonts w:ascii="Times New Roman;serif" w:hAnsi="Times New Roman;serif"/>
                <w:b/>
                <w:color w:val="000000"/>
                <w:sz w:val="14"/>
              </w:rPr>
              <w:t>BALANCE—March 31, 2025</w:t>
            </w:r>
          </w:p>
        </w:tc>
        <w:tc>
          <w:tcPr>
            <w:tcW w:w="766" w:type="dxa"/>
            <w:gridSpan w:val="3"/>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52" w:before="0" w:after="283"/>
              <w:jc w:val="right"/>
              <w:rPr>
                <w:rFonts w:ascii="Times New Roman;serif" w:hAnsi="Times New Roman;serif"/>
                <w:b w:val="false"/>
                <w:color w:val="000000"/>
                <w:sz w:val="14"/>
              </w:rPr>
            </w:pPr>
            <w:r>
              <w:rPr>
                <w:rFonts w:ascii="Times New Roman;serif" w:hAnsi="Times New Roman;serif"/>
                <w:b w:val="false"/>
                <w:color w:val="000000"/>
                <w:sz w:val="14"/>
              </w:rPr>
              <w:t>93,004,602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52"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28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52" w:before="0" w:after="283"/>
              <w:jc w:val="right"/>
              <w:rPr>
                <w:rFonts w:ascii="Times New Roman;serif" w:hAnsi="Times New Roman;serif"/>
                <w:b w:val="false"/>
                <w:color w:val="000000"/>
                <w:sz w:val="14"/>
              </w:rPr>
            </w:pPr>
            <w:r>
              <w:rPr>
                <w:rFonts w:ascii="Times New Roman;serif" w:hAnsi="Times New Roman;serif"/>
                <w:b w:val="false"/>
                <w:color w:val="000000"/>
                <w:sz w:val="14"/>
              </w:rPr>
              <w:t>9 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52"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68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52" w:before="0" w:after="283"/>
              <w:jc w:val="right"/>
              <w:rPr>
                <w:rFonts w:ascii="Times New Roman;serif" w:hAnsi="Times New Roman;serif"/>
                <w:b w:val="false"/>
                <w:color w:val="000000"/>
                <w:sz w:val="14"/>
              </w:rPr>
            </w:pPr>
            <w:r>
              <w:rPr>
                <w:rFonts w:ascii="Times New Roman;serif" w:hAnsi="Times New Roman;serif"/>
                <w:b w:val="false"/>
                <w:color w:val="000000"/>
                <w:sz w:val="14"/>
              </w:rPr>
              <w:t>705,427 </w:t>
            </w:r>
          </w:p>
        </w:tc>
        <w:tc>
          <w:tcPr>
            <w:tcW w:w="1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52"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94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52" w:before="0" w:after="283"/>
              <w:jc w:val="right"/>
              <w:rPr>
                <w:rFonts w:ascii="Times New Roman;serif" w:hAnsi="Times New Roman;serif"/>
                <w:b w:val="false"/>
                <w:color w:val="000000"/>
                <w:sz w:val="14"/>
              </w:rPr>
            </w:pPr>
            <w:r>
              <w:rPr>
                <w:rFonts w:ascii="Times New Roman;serif" w:hAnsi="Times New Roman;serif"/>
                <w:b w:val="false"/>
                <w:color w:val="000000"/>
                <w:sz w:val="14"/>
              </w:rPr>
              <w:t>167 </w:t>
            </w:r>
          </w:p>
        </w:tc>
        <w:tc>
          <w:tcPr>
            <w:tcW w:w="28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52"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64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52" w:before="0" w:after="283"/>
              <w:jc w:val="right"/>
              <w:rPr>
                <w:rFonts w:ascii="Times New Roman;serif" w:hAnsi="Times New Roman;serif"/>
                <w:b w:val="false"/>
                <w:color w:val="000000"/>
                <w:sz w:val="14"/>
              </w:rPr>
            </w:pPr>
            <w:r>
              <w:rPr>
                <w:rFonts w:ascii="Times New Roman;serif" w:hAnsi="Times New Roman;serif"/>
                <w:b w:val="false"/>
                <w:color w:val="000000"/>
                <w:sz w:val="14"/>
              </w:rPr>
              <w:t>(488,381)</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52"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80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52" w:before="0" w:after="283"/>
              <w:jc w:val="right"/>
              <w:rPr>
                <w:rFonts w:ascii="Times New Roman;serif" w:hAnsi="Times New Roman;serif"/>
                <w:b w:val="false"/>
                <w:color w:val="000000"/>
                <w:sz w:val="14"/>
              </w:rPr>
            </w:pPr>
            <w:r>
              <w:rPr>
                <w:rFonts w:ascii="Times New Roman;serif" w:hAnsi="Times New Roman;serif"/>
                <w:b w:val="false"/>
                <w:color w:val="000000"/>
                <w:sz w:val="14"/>
              </w:rPr>
              <w:t>217,222 </w:t>
            </w:r>
          </w:p>
        </w:tc>
        <w:tc>
          <w:tcPr>
            <w:tcW w:w="2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The accompanying notes are an integral part of these unaudited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146685"/>
                <wp:effectExtent l="0" t="0" r="0" b="0"/>
                <wp:wrapNone/>
                <wp:docPr id="5" name="Frame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3</w:t>
                      </w:r>
                    </w:p>
                  </w:txbxContent>
                </v:textbox>
                <w10:wrap type="none"/>
              </v:rect>
            </w:pict>
          </mc:Fallback>
        </mc:AlternateContent>
      </w:r>
    </w:p>
    <w:p>
      <w:pPr>
        <w:pStyle w:val="TextBody"/>
        <w:bidi w:val="0"/>
        <w:spacing w:lineRule="auto" w:line="288" w:before="0" w:after="0"/>
        <w:jc w:val="left"/>
        <w:rPr/>
      </w:pPr>
      <w:hyperlink w:anchor="i7f5619487a1149c59a3dd36fee75a584_7">
        <w:r>
          <w:rPr>
            <w:rStyle w:val="InternetLink"/>
            <w:rFonts w:ascii="Times New Roman;serif" w:hAnsi="Times New Roman;serif"/>
            <w:b w:val="false"/>
            <w:color w:val="0000FF"/>
            <w:sz w:val="20"/>
            <w:u w:val="single"/>
          </w:rPr>
          <w:t>Table of Contents</w:t>
        </w:r>
      </w:hyperlink>
    </w:p>
    <w:p>
      <w:pPr>
        <w:pStyle w:val="TextBody"/>
        <w:bidi w:val="0"/>
        <w:spacing w:lineRule="auto" w:line="288" w:before="200" w:after="283"/>
        <w:jc w:val="center"/>
        <w:rPr>
          <w:rFonts w:ascii="Times New Roman;serif" w:hAnsi="Times New Roman;serif"/>
          <w:b/>
          <w:color w:val="000000"/>
          <w:sz w:val="20"/>
        </w:rPr>
      </w:pPr>
      <w:r>
        <w:rPr>
          <w:rFonts w:ascii="Times New Roman;serif" w:hAnsi="Times New Roman;serif"/>
          <w:b/>
          <w:color w:val="000000"/>
          <w:sz w:val="20"/>
        </w:rPr>
        <w:t>CARIBOU BIOSCIENCES, INC. AND ITS SUBSIDIARIES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Condensed Consolidated Statements of Cash Flows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(Unaudited)</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(in thousands)</w:t>
      </w:r>
    </w:p>
    <w:tbl>
      <w:tblPr>
        <w:tblW w:w="7660" w:type="dxa"/>
        <w:jc w:val="left"/>
        <w:tblInd w:w="0" w:type="dxa"/>
        <w:tblLayout w:type="fixed"/>
        <w:tblCellMar>
          <w:top w:w="28" w:type="dxa"/>
          <w:left w:w="28" w:type="dxa"/>
          <w:bottom w:w="28" w:type="dxa"/>
          <w:right w:w="28" w:type="dxa"/>
        </w:tblCellMar>
      </w:tblPr>
      <w:tblGrid>
        <w:gridCol w:w="1886"/>
        <w:gridCol w:w="1664"/>
        <w:gridCol w:w="1670"/>
        <w:gridCol w:w="205"/>
        <w:gridCol w:w="682"/>
        <w:gridCol w:w="123"/>
        <w:gridCol w:w="123"/>
        <w:gridCol w:w="123"/>
        <w:gridCol w:w="123"/>
        <w:gridCol w:w="205"/>
        <w:gridCol w:w="682"/>
        <w:gridCol w:w="174"/>
      </w:tblGrid>
      <w:tr>
        <w:trPr/>
        <w:tc>
          <w:tcPr>
            <w:tcW w:w="1886" w:type="dxa"/>
            <w:tcBorders/>
            <w:vAlign w:val="center"/>
          </w:tcPr>
          <w:p>
            <w:pPr>
              <w:pStyle w:val="TableContents"/>
              <w:bidi w:val="0"/>
              <w:spacing w:before="0" w:after="283"/>
              <w:jc w:val="left"/>
              <w:rPr>
                <w:sz w:val="4"/>
                <w:szCs w:val="4"/>
              </w:rPr>
            </w:pPr>
            <w:r>
              <w:rPr>
                <w:sz w:val="4"/>
                <w:szCs w:val="4"/>
              </w:rPr>
            </w:r>
          </w:p>
        </w:tc>
        <w:tc>
          <w:tcPr>
            <w:tcW w:w="1664" w:type="dxa"/>
            <w:tcBorders/>
            <w:vAlign w:val="center"/>
          </w:tcPr>
          <w:p>
            <w:pPr>
              <w:pStyle w:val="TableContents"/>
              <w:bidi w:val="0"/>
              <w:spacing w:before="0" w:after="283"/>
              <w:jc w:val="left"/>
              <w:rPr>
                <w:sz w:val="4"/>
                <w:szCs w:val="4"/>
              </w:rPr>
            </w:pPr>
            <w:r>
              <w:rPr>
                <w:sz w:val="4"/>
                <w:szCs w:val="4"/>
              </w:rPr>
            </w:r>
          </w:p>
        </w:tc>
        <w:tc>
          <w:tcPr>
            <w:tcW w:w="1670"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c>
          <w:tcPr>
            <w:tcW w:w="682"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c>
          <w:tcPr>
            <w:tcW w:w="682" w:type="dxa"/>
            <w:tcBorders/>
            <w:vAlign w:val="center"/>
          </w:tcPr>
          <w:p>
            <w:pPr>
              <w:pStyle w:val="TableContents"/>
              <w:bidi w:val="0"/>
              <w:spacing w:before="0" w:after="283"/>
              <w:jc w:val="left"/>
              <w:rPr>
                <w:sz w:val="4"/>
                <w:szCs w:val="4"/>
              </w:rPr>
            </w:pPr>
            <w:r>
              <w:rPr>
                <w:sz w:val="4"/>
                <w:szCs w:val="4"/>
              </w:rPr>
            </w:r>
          </w:p>
        </w:tc>
        <w:tc>
          <w:tcPr>
            <w:tcW w:w="174" w:type="dxa"/>
            <w:tcBorders/>
            <w:vAlign w:val="center"/>
          </w:tcPr>
          <w:p>
            <w:pPr>
              <w:pStyle w:val="TableContents"/>
              <w:bidi w:val="0"/>
              <w:spacing w:before="0" w:after="283"/>
              <w:jc w:val="left"/>
              <w:rPr>
                <w:sz w:val="4"/>
                <w:szCs w:val="4"/>
              </w:rPr>
            </w:pPr>
            <w:r>
              <w:rPr>
                <w:sz w:val="4"/>
                <w:szCs w:val="4"/>
              </w:rPr>
            </w:r>
          </w:p>
        </w:tc>
      </w:tr>
      <w:tr>
        <w:trPr/>
        <w:tc>
          <w:tcPr>
            <w:tcW w:w="52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 March 31,</w:t>
            </w:r>
          </w:p>
        </w:tc>
      </w:tr>
      <w:tr>
        <w:trPr/>
        <w:tc>
          <w:tcPr>
            <w:tcW w:w="52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52"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6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52"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5220" w:type="dxa"/>
            <w:gridSpan w:val="3"/>
            <w:tcBorders/>
            <w:shd w:fill="CCEEFF" w:val="clear"/>
            <w:tcMar>
              <w:top w:w="0" w:type="dxa"/>
              <w:left w:w="0" w:type="dxa"/>
              <w:bottom w:w="0" w:type="dxa"/>
              <w:right w:w="0" w:type="dxa"/>
            </w:tcMar>
            <w:vAlign w:val="center"/>
          </w:tcPr>
          <w:p>
            <w:pPr>
              <w:pStyle w:val="TableContents"/>
              <w:bidi w:val="0"/>
              <w:spacing w:lineRule="auto" w:line="252" w:before="0" w:after="283"/>
              <w:jc w:val="left"/>
              <w:rPr>
                <w:rFonts w:ascii="Times New Roman;serif" w:hAnsi="Times New Roman;serif"/>
                <w:b w:val="false"/>
                <w:color w:val="000000"/>
                <w:sz w:val="14"/>
              </w:rPr>
            </w:pPr>
            <w:r>
              <w:rPr>
                <w:rFonts w:ascii="Times New Roman;serif" w:hAnsi="Times New Roman;serif"/>
                <w:b w:val="false"/>
                <w:color w:val="000000"/>
                <w:sz w:val="14"/>
              </w:rPr>
              <w:t>CASH FLOWS FROM OPERATING ACTIVITIES:</w:t>
            </w:r>
          </w:p>
        </w:tc>
        <w:tc>
          <w:tcPr>
            <w:tcW w:w="101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20" w:type="dxa"/>
            <w:gridSpan w:val="3"/>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serif" w:hAnsi="Times New Roman;serif"/>
                <w:b w:val="false"/>
                <w:color w:val="000000"/>
                <w:sz w:val="14"/>
              </w:rPr>
            </w:pPr>
            <w:r>
              <w:rPr>
                <w:rFonts w:ascii="Times New Roman;serif" w:hAnsi="Times New Roman;serif"/>
                <w:b w:val="false"/>
                <w:color w:val="000000"/>
                <w:sz w:val="14"/>
              </w:rPr>
              <w:t>Net loss</w:t>
            </w:r>
          </w:p>
        </w:tc>
        <w:tc>
          <w:tcPr>
            <w:tcW w:w="205"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682"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serif" w:hAnsi="Times New Roman;serif"/>
                <w:b w:val="false"/>
                <w:color w:val="000000"/>
                <w:sz w:val="14"/>
              </w:rPr>
            </w:pPr>
            <w:r>
              <w:rPr>
                <w:rFonts w:ascii="Times New Roman;serif" w:hAnsi="Times New Roman;serif"/>
                <w:b w:val="false"/>
                <w:color w:val="000000"/>
                <w:sz w:val="14"/>
              </w:rPr>
              <w:t>(25,085)</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682"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serif" w:hAnsi="Times New Roman;serif"/>
                <w:b w:val="false"/>
                <w:color w:val="000000"/>
                <w:sz w:val="14"/>
              </w:rPr>
            </w:pPr>
            <w:r>
              <w:rPr>
                <w:rFonts w:ascii="Times New Roman;serif" w:hAnsi="Times New Roman;serif"/>
                <w:b w:val="false"/>
                <w:color w:val="000000"/>
                <w:sz w:val="14"/>
              </w:rPr>
              <w:t>(39,991)</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20" w:type="dxa"/>
            <w:gridSpan w:val="3"/>
            <w:tcBorders/>
            <w:shd w:fill="CCEEFF" w:val="clear"/>
            <w:tcMar>
              <w:top w:w="0" w:type="dxa"/>
              <w:left w:w="0" w:type="dxa"/>
              <w:bottom w:w="0" w:type="dxa"/>
              <w:right w:w="0" w:type="dxa"/>
            </w:tcMar>
            <w:vAlign w:val="center"/>
          </w:tcPr>
          <w:p>
            <w:pPr>
              <w:pStyle w:val="TableContents"/>
              <w:bidi w:val="0"/>
              <w:spacing w:lineRule="auto" w:line="252" w:before="0" w:after="283"/>
              <w:jc w:val="left"/>
              <w:rPr>
                <w:rFonts w:ascii="Times New Roman;serif" w:hAnsi="Times New Roman;serif"/>
                <w:b w:val="false"/>
                <w:color w:val="000000"/>
                <w:sz w:val="14"/>
              </w:rPr>
            </w:pPr>
            <w:r>
              <w:rPr>
                <w:rFonts w:ascii="Times New Roman;serif" w:hAnsi="Times New Roman;serif"/>
                <w:b w:val="false"/>
                <w:color w:val="000000"/>
                <w:sz w:val="14"/>
              </w:rPr>
              <w:t>Adjustments to reconcile net loss to net cash used in operating activities:</w:t>
            </w:r>
          </w:p>
        </w:tc>
        <w:tc>
          <w:tcPr>
            <w:tcW w:w="101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20" w:type="dxa"/>
            <w:gridSpan w:val="3"/>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serif" w:hAnsi="Times New Roman;serif"/>
                <w:b w:val="false"/>
                <w:color w:val="000000"/>
                <w:sz w:val="14"/>
              </w:rPr>
            </w:pPr>
            <w:r>
              <w:rPr>
                <w:rFonts w:ascii="Times New Roman;serif" w:hAnsi="Times New Roman;serif"/>
                <w:b w:val="false"/>
                <w:color w:val="000000"/>
                <w:sz w:val="14"/>
              </w:rPr>
              <w:t>Depreciation and amortization</w:t>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serif" w:hAnsi="Times New Roman;serif"/>
                <w:b w:val="false"/>
                <w:color w:val="000000"/>
                <w:sz w:val="14"/>
              </w:rPr>
            </w:pPr>
            <w:r>
              <w:rPr>
                <w:rFonts w:ascii="Times New Roman;serif" w:hAnsi="Times New Roman;serif"/>
                <w:b w:val="false"/>
                <w:color w:val="000000"/>
                <w:sz w:val="14"/>
              </w:rPr>
              <w:t>649 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serif" w:hAnsi="Times New Roman;serif"/>
                <w:b w:val="false"/>
                <w:color w:val="000000"/>
                <w:sz w:val="14"/>
              </w:rPr>
            </w:pPr>
            <w:r>
              <w:rPr>
                <w:rFonts w:ascii="Times New Roman;serif" w:hAnsi="Times New Roman;serif"/>
                <w:b w:val="false"/>
                <w:color w:val="000000"/>
                <w:sz w:val="14"/>
              </w:rPr>
              <w:t>1,165 </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20" w:type="dxa"/>
            <w:gridSpan w:val="3"/>
            <w:tcBorders/>
            <w:shd w:fill="CCEEFF" w:val="clear"/>
            <w:tcMar>
              <w:top w:w="0" w:type="dxa"/>
              <w:left w:w="0" w:type="dxa"/>
              <w:bottom w:w="0" w:type="dxa"/>
              <w:right w:w="0" w:type="dxa"/>
            </w:tcMar>
            <w:vAlign w:val="center"/>
          </w:tcPr>
          <w:p>
            <w:pPr>
              <w:pStyle w:val="TableContents"/>
              <w:bidi w:val="0"/>
              <w:spacing w:lineRule="auto" w:line="252" w:before="0" w:after="0"/>
              <w:jc w:val="left"/>
              <w:rPr>
                <w:rFonts w:ascii="Times New Roman;serif" w:hAnsi="Times New Roman;serif"/>
                <w:b w:val="false"/>
                <w:color w:val="000000"/>
                <w:sz w:val="14"/>
              </w:rPr>
            </w:pPr>
            <w:r>
              <w:rPr>
                <w:rFonts w:ascii="Times New Roman;serif" w:hAnsi="Times New Roman;serif"/>
                <w:b w:val="false"/>
                <w:color w:val="000000"/>
                <w:sz w:val="14"/>
              </w:rPr>
              <w:t>Change in fair value of equity securities</w:t>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52" w:before="0" w:after="283"/>
              <w:jc w:val="right"/>
              <w:rPr>
                <w:color w:val="000000"/>
              </w:rPr>
            </w:pPr>
            <w:r>
              <w:rPr>
                <w:color w:val="000000"/>
              </w:rPr>
              <w:t>—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52" w:before="0" w:after="283"/>
              <w:jc w:val="right"/>
              <w:rPr>
                <w:rFonts w:ascii="Times New Roman;serif" w:hAnsi="Times New Roman;serif"/>
                <w:b w:val="false"/>
                <w:color w:val="000000"/>
                <w:sz w:val="14"/>
              </w:rPr>
            </w:pPr>
            <w:r>
              <w:rPr>
                <w:rFonts w:ascii="Times New Roman;serif" w:hAnsi="Times New Roman;serif"/>
                <w:b w:val="false"/>
                <w:color w:val="000000"/>
                <w:sz w:val="14"/>
              </w:rPr>
              <w:t>11 </w:t>
            </w:r>
          </w:p>
        </w:tc>
        <w:tc>
          <w:tcPr>
            <w:tcW w:w="17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20" w:type="dxa"/>
            <w:gridSpan w:val="3"/>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serif" w:hAnsi="Times New Roman;serif"/>
                <w:b w:val="false"/>
                <w:color w:val="000000"/>
                <w:sz w:val="14"/>
              </w:rPr>
            </w:pPr>
            <w:r>
              <w:rPr>
                <w:rFonts w:ascii="Times New Roman;serif" w:hAnsi="Times New Roman;serif"/>
                <w:b w:val="false"/>
                <w:color w:val="000000"/>
                <w:sz w:val="14"/>
              </w:rPr>
              <w:t>Stock-based compensation expense</w:t>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serif" w:hAnsi="Times New Roman;serif"/>
                <w:b w:val="false"/>
                <w:color w:val="000000"/>
                <w:sz w:val="14"/>
              </w:rPr>
            </w:pPr>
            <w:r>
              <w:rPr>
                <w:rFonts w:ascii="Times New Roman;serif" w:hAnsi="Times New Roman;serif"/>
                <w:b w:val="false"/>
                <w:color w:val="000000"/>
                <w:sz w:val="14"/>
              </w:rPr>
              <w:t>2,357 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serif" w:hAnsi="Times New Roman;serif"/>
                <w:b w:val="false"/>
                <w:color w:val="000000"/>
                <w:sz w:val="14"/>
              </w:rPr>
            </w:pPr>
            <w:r>
              <w:rPr>
                <w:rFonts w:ascii="Times New Roman;serif" w:hAnsi="Times New Roman;serif"/>
                <w:b w:val="false"/>
                <w:color w:val="000000"/>
                <w:sz w:val="14"/>
              </w:rPr>
              <w:t>3,882 </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20" w:type="dxa"/>
            <w:gridSpan w:val="3"/>
            <w:tcBorders/>
            <w:shd w:fill="CCEEFF" w:val="clear"/>
            <w:tcMar>
              <w:top w:w="0" w:type="dxa"/>
              <w:left w:w="0" w:type="dxa"/>
              <w:bottom w:w="0" w:type="dxa"/>
              <w:right w:w="0" w:type="dxa"/>
            </w:tcMar>
            <w:vAlign w:val="center"/>
          </w:tcPr>
          <w:p>
            <w:pPr>
              <w:pStyle w:val="TableContents"/>
              <w:bidi w:val="0"/>
              <w:spacing w:lineRule="auto" w:line="252" w:before="0" w:after="0"/>
              <w:jc w:val="left"/>
              <w:rPr>
                <w:rFonts w:ascii="Times New Roman;serif" w:hAnsi="Times New Roman;serif"/>
                <w:b w:val="false"/>
                <w:color w:val="000000"/>
                <w:sz w:val="14"/>
              </w:rPr>
            </w:pPr>
            <w:r>
              <w:rPr>
                <w:rFonts w:ascii="Times New Roman;serif" w:hAnsi="Times New Roman;serif"/>
                <w:b w:val="false"/>
                <w:color w:val="000000"/>
                <w:sz w:val="14"/>
              </w:rPr>
              <w:t>Change in fair value of success payments liability</w:t>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52" w:before="0" w:after="283"/>
              <w:jc w:val="right"/>
              <w:rPr>
                <w:color w:val="000000"/>
              </w:rPr>
            </w:pPr>
            <w:r>
              <w:rPr>
                <w:color w:val="000000"/>
              </w:rPr>
              <w:t>—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52" w:before="0" w:after="283"/>
              <w:jc w:val="right"/>
              <w:rPr>
                <w:rFonts w:ascii="Times New Roman;serif" w:hAnsi="Times New Roman;serif"/>
                <w:b w:val="false"/>
                <w:color w:val="000000"/>
                <w:sz w:val="14"/>
              </w:rPr>
            </w:pPr>
            <w:r>
              <w:rPr>
                <w:rFonts w:ascii="Times New Roman;serif" w:hAnsi="Times New Roman;serif"/>
                <w:b w:val="false"/>
                <w:color w:val="000000"/>
                <w:sz w:val="14"/>
              </w:rPr>
              <w:t>(334)</w:t>
            </w:r>
          </w:p>
        </w:tc>
        <w:tc>
          <w:tcPr>
            <w:tcW w:w="17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20" w:type="dxa"/>
            <w:gridSpan w:val="3"/>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serif" w:hAnsi="Times New Roman;serif"/>
                <w:b w:val="false"/>
                <w:color w:val="000000"/>
                <w:sz w:val="14"/>
              </w:rPr>
            </w:pPr>
            <w:r>
              <w:rPr>
                <w:rFonts w:ascii="Times New Roman;serif" w:hAnsi="Times New Roman;serif"/>
                <w:b w:val="false"/>
                <w:color w:val="000000"/>
                <w:sz w:val="14"/>
              </w:rPr>
              <w:t>Accretion of discounts on investments in marketable securities, net</w:t>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serif" w:hAnsi="Times New Roman;serif"/>
                <w:b w:val="false"/>
                <w:color w:val="000000"/>
                <w:sz w:val="14"/>
              </w:rPr>
            </w:pPr>
            <w:r>
              <w:rPr>
                <w:rFonts w:ascii="Times New Roman;serif" w:hAnsi="Times New Roman;serif"/>
                <w:b w:val="false"/>
                <w:color w:val="000000"/>
                <w:sz w:val="14"/>
              </w:rPr>
              <w:t>(269)</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serif" w:hAnsi="Times New Roman;serif"/>
                <w:b w:val="false"/>
                <w:color w:val="000000"/>
                <w:sz w:val="14"/>
              </w:rPr>
            </w:pPr>
            <w:r>
              <w:rPr>
                <w:rFonts w:ascii="Times New Roman;serif" w:hAnsi="Times New Roman;serif"/>
                <w:b w:val="false"/>
                <w:color w:val="000000"/>
                <w:sz w:val="14"/>
              </w:rPr>
              <w:t>(452)</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20" w:type="dxa"/>
            <w:gridSpan w:val="3"/>
            <w:tcBorders/>
            <w:shd w:fill="CCEEFF" w:val="clear"/>
            <w:tcMar>
              <w:top w:w="0" w:type="dxa"/>
              <w:left w:w="0" w:type="dxa"/>
              <w:bottom w:w="0" w:type="dxa"/>
              <w:right w:w="0" w:type="dxa"/>
            </w:tcMar>
            <w:vAlign w:val="center"/>
          </w:tcPr>
          <w:p>
            <w:pPr>
              <w:pStyle w:val="TableContents"/>
              <w:bidi w:val="0"/>
              <w:spacing w:lineRule="auto" w:line="252" w:before="0" w:after="283"/>
              <w:jc w:val="left"/>
              <w:rPr>
                <w:rFonts w:ascii="Times New Roman;serif" w:hAnsi="Times New Roman;serif"/>
                <w:b w:val="false"/>
                <w:color w:val="000000"/>
                <w:sz w:val="14"/>
              </w:rPr>
            </w:pPr>
            <w:r>
              <w:rPr>
                <w:rFonts w:ascii="Times New Roman;serif" w:hAnsi="Times New Roman;serif"/>
                <w:b w:val="false"/>
                <w:color w:val="000000"/>
                <w:sz w:val="14"/>
              </w:rPr>
              <w:t>Non-cash lease expense</w:t>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52" w:before="0" w:after="283"/>
              <w:jc w:val="right"/>
              <w:rPr>
                <w:rFonts w:ascii="Times New Roman;serif" w:hAnsi="Times New Roman;serif"/>
                <w:b w:val="false"/>
                <w:color w:val="000000"/>
                <w:sz w:val="14"/>
              </w:rPr>
            </w:pPr>
            <w:r>
              <w:rPr>
                <w:rFonts w:ascii="Times New Roman;serif" w:hAnsi="Times New Roman;serif"/>
                <w:b w:val="false"/>
                <w:color w:val="000000"/>
                <w:sz w:val="14"/>
              </w:rPr>
              <w:t>315 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52" w:before="0" w:after="283"/>
              <w:jc w:val="right"/>
              <w:rPr>
                <w:rFonts w:ascii="Times New Roman;serif" w:hAnsi="Times New Roman;serif"/>
                <w:b w:val="false"/>
                <w:color w:val="000000"/>
                <w:sz w:val="14"/>
              </w:rPr>
            </w:pPr>
            <w:r>
              <w:rPr>
                <w:rFonts w:ascii="Times New Roman;serif" w:hAnsi="Times New Roman;serif"/>
                <w:b w:val="false"/>
                <w:color w:val="000000"/>
                <w:sz w:val="14"/>
              </w:rPr>
              <w:t>490 </w:t>
            </w:r>
          </w:p>
        </w:tc>
        <w:tc>
          <w:tcPr>
            <w:tcW w:w="17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20" w:type="dxa"/>
            <w:gridSpan w:val="3"/>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serif" w:hAnsi="Times New Roman;serif"/>
                <w:b w:val="false"/>
                <w:color w:val="000000"/>
                <w:sz w:val="14"/>
              </w:rPr>
            </w:pPr>
            <w:r>
              <w:rPr>
                <w:rFonts w:ascii="Times New Roman;serif" w:hAnsi="Times New Roman;serif"/>
                <w:b w:val="false"/>
                <w:color w:val="000000"/>
                <w:sz w:val="14"/>
              </w:rPr>
              <w:t>Changes in operating assets and liabilities:</w:t>
            </w:r>
          </w:p>
        </w:tc>
        <w:tc>
          <w:tcPr>
            <w:tcW w:w="101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20" w:type="dxa"/>
            <w:gridSpan w:val="3"/>
            <w:tcBorders/>
            <w:shd w:fill="CCEEFF" w:val="clear"/>
            <w:tcMar>
              <w:top w:w="0" w:type="dxa"/>
              <w:left w:w="0" w:type="dxa"/>
              <w:bottom w:w="0" w:type="dxa"/>
              <w:right w:w="0" w:type="dxa"/>
            </w:tcMar>
            <w:vAlign w:val="center"/>
          </w:tcPr>
          <w:p>
            <w:pPr>
              <w:pStyle w:val="TableContents"/>
              <w:bidi w:val="0"/>
              <w:spacing w:lineRule="auto" w:line="252" w:before="0" w:after="283"/>
              <w:jc w:val="left"/>
              <w:rPr>
                <w:rFonts w:ascii="Times New Roman;serif" w:hAnsi="Times New Roman;serif"/>
                <w:b w:val="false"/>
                <w:color w:val="000000"/>
                <w:sz w:val="14"/>
              </w:rPr>
            </w:pPr>
            <w:r>
              <w:rPr>
                <w:rFonts w:ascii="Times New Roman;serif" w:hAnsi="Times New Roman;serif"/>
                <w:b w:val="false"/>
                <w:color w:val="000000"/>
                <w:sz w:val="14"/>
              </w:rPr>
              <w:t>Accounts receivable</w:t>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52" w:before="0" w:after="283"/>
              <w:jc w:val="right"/>
              <w:rPr>
                <w:rFonts w:ascii="Times New Roman;serif" w:hAnsi="Times New Roman;serif"/>
                <w:b w:val="false"/>
                <w:color w:val="000000"/>
                <w:sz w:val="14"/>
              </w:rPr>
            </w:pPr>
            <w:r>
              <w:rPr>
                <w:rFonts w:ascii="Times New Roman;serif" w:hAnsi="Times New Roman;serif"/>
                <w:b w:val="false"/>
                <w:color w:val="000000"/>
                <w:sz w:val="14"/>
              </w:rPr>
              <w:t>(158)</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52" w:before="0" w:after="283"/>
              <w:jc w:val="right"/>
              <w:rPr>
                <w:rFonts w:ascii="Times New Roman;serif" w:hAnsi="Times New Roman;serif"/>
                <w:b w:val="false"/>
                <w:color w:val="000000"/>
                <w:sz w:val="14"/>
              </w:rPr>
            </w:pPr>
            <w:r>
              <w:rPr>
                <w:rFonts w:ascii="Times New Roman;serif" w:hAnsi="Times New Roman;serif"/>
                <w:b w:val="false"/>
                <w:color w:val="000000"/>
                <w:sz w:val="14"/>
              </w:rPr>
              <w:t>177 </w:t>
            </w:r>
          </w:p>
        </w:tc>
        <w:tc>
          <w:tcPr>
            <w:tcW w:w="17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20" w:type="dxa"/>
            <w:gridSpan w:val="3"/>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serif" w:hAnsi="Times New Roman;serif"/>
                <w:b w:val="false"/>
                <w:color w:val="000000"/>
                <w:sz w:val="14"/>
              </w:rPr>
            </w:pPr>
            <w:r>
              <w:rPr>
                <w:rFonts w:ascii="Times New Roman;serif" w:hAnsi="Times New Roman;serif"/>
                <w:b w:val="false"/>
                <w:color w:val="000000"/>
                <w:sz w:val="14"/>
              </w:rPr>
              <w:t>Contract assets</w:t>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serif" w:hAnsi="Times New Roman;serif"/>
                <w:b w:val="false"/>
                <w:color w:val="000000"/>
                <w:sz w:val="14"/>
              </w:rPr>
            </w:pPr>
            <w:r>
              <w:rPr>
                <w:rFonts w:ascii="Times New Roman;serif" w:hAnsi="Times New Roman;serif"/>
                <w:b w:val="false"/>
                <w:color w:val="000000"/>
                <w:sz w:val="14"/>
              </w:rPr>
              <w:t>315 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serif" w:hAnsi="Times New Roman;serif"/>
                <w:b w:val="false"/>
                <w:color w:val="000000"/>
                <w:sz w:val="14"/>
              </w:rPr>
            </w:pPr>
            <w:r>
              <w:rPr>
                <w:rFonts w:ascii="Times New Roman;serif" w:hAnsi="Times New Roman;serif"/>
                <w:b w:val="false"/>
                <w:color w:val="000000"/>
                <w:sz w:val="14"/>
              </w:rPr>
              <w:t>350 </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20" w:type="dxa"/>
            <w:gridSpan w:val="3"/>
            <w:tcBorders/>
            <w:shd w:fill="CCEEFF" w:val="clear"/>
            <w:tcMar>
              <w:top w:w="0" w:type="dxa"/>
              <w:left w:w="0" w:type="dxa"/>
              <w:bottom w:w="0" w:type="dxa"/>
              <w:right w:w="0" w:type="dxa"/>
            </w:tcMar>
            <w:vAlign w:val="center"/>
          </w:tcPr>
          <w:p>
            <w:pPr>
              <w:pStyle w:val="TableContents"/>
              <w:bidi w:val="0"/>
              <w:spacing w:lineRule="auto" w:line="252" w:before="0" w:after="283"/>
              <w:jc w:val="left"/>
              <w:rPr>
                <w:rFonts w:ascii="Times New Roman;serif" w:hAnsi="Times New Roman;serif"/>
                <w:b w:val="false"/>
                <w:color w:val="000000"/>
                <w:sz w:val="14"/>
              </w:rPr>
            </w:pPr>
            <w:r>
              <w:rPr>
                <w:rFonts w:ascii="Times New Roman;serif" w:hAnsi="Times New Roman;serif"/>
                <w:b w:val="false"/>
                <w:color w:val="000000"/>
                <w:sz w:val="14"/>
              </w:rPr>
              <w:t>Other receivables</w:t>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52" w:before="0" w:after="283"/>
              <w:jc w:val="right"/>
              <w:rPr>
                <w:rFonts w:ascii="Times New Roman;serif" w:hAnsi="Times New Roman;serif"/>
                <w:b w:val="false"/>
                <w:color w:val="000000"/>
                <w:sz w:val="14"/>
              </w:rPr>
            </w:pPr>
            <w:r>
              <w:rPr>
                <w:rFonts w:ascii="Times New Roman;serif" w:hAnsi="Times New Roman;serif"/>
                <w:b w:val="false"/>
                <w:color w:val="000000"/>
                <w:sz w:val="14"/>
              </w:rPr>
              <w:t>459 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52" w:before="0" w:after="283"/>
              <w:jc w:val="right"/>
              <w:rPr>
                <w:rFonts w:ascii="Times New Roman;serif" w:hAnsi="Times New Roman;serif"/>
                <w:b w:val="false"/>
                <w:color w:val="000000"/>
                <w:sz w:val="14"/>
              </w:rPr>
            </w:pPr>
            <w:r>
              <w:rPr>
                <w:rFonts w:ascii="Times New Roman;serif" w:hAnsi="Times New Roman;serif"/>
                <w:b w:val="false"/>
                <w:color w:val="000000"/>
                <w:sz w:val="14"/>
              </w:rPr>
              <w:t>(17)</w:t>
            </w:r>
          </w:p>
        </w:tc>
        <w:tc>
          <w:tcPr>
            <w:tcW w:w="17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20" w:type="dxa"/>
            <w:gridSpan w:val="3"/>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serif" w:hAnsi="Times New Roman;serif"/>
                <w:b w:val="false"/>
                <w:color w:val="000000"/>
                <w:sz w:val="14"/>
              </w:rPr>
            </w:pPr>
            <w:r>
              <w:rPr>
                <w:rFonts w:ascii="Times New Roman;serif" w:hAnsi="Times New Roman;serif"/>
                <w:b w:val="false"/>
                <w:color w:val="000000"/>
                <w:sz w:val="14"/>
              </w:rPr>
              <w:t>Prepaid expenses and other current assets</w:t>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serif" w:hAnsi="Times New Roman;serif"/>
                <w:b w:val="false"/>
                <w:color w:val="000000"/>
                <w:sz w:val="14"/>
              </w:rPr>
            </w:pPr>
            <w:r>
              <w:rPr>
                <w:rFonts w:ascii="Times New Roman;serif" w:hAnsi="Times New Roman;serif"/>
                <w:b w:val="false"/>
                <w:color w:val="000000"/>
                <w:sz w:val="14"/>
              </w:rPr>
              <w:t>522 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serif" w:hAnsi="Times New Roman;serif"/>
                <w:b w:val="false"/>
                <w:color w:val="000000"/>
                <w:sz w:val="14"/>
              </w:rPr>
            </w:pPr>
            <w:r>
              <w:rPr>
                <w:rFonts w:ascii="Times New Roman;serif" w:hAnsi="Times New Roman;serif"/>
                <w:b w:val="false"/>
                <w:color w:val="000000"/>
                <w:sz w:val="14"/>
              </w:rPr>
              <w:t>471 </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20" w:type="dxa"/>
            <w:gridSpan w:val="3"/>
            <w:tcBorders/>
            <w:shd w:fill="CCEEFF" w:val="clear"/>
            <w:tcMar>
              <w:top w:w="0" w:type="dxa"/>
              <w:left w:w="0" w:type="dxa"/>
              <w:bottom w:w="0" w:type="dxa"/>
              <w:right w:w="0" w:type="dxa"/>
            </w:tcMar>
            <w:vAlign w:val="center"/>
          </w:tcPr>
          <w:p>
            <w:pPr>
              <w:pStyle w:val="TableContents"/>
              <w:bidi w:val="0"/>
              <w:spacing w:lineRule="auto" w:line="252" w:before="0" w:after="283"/>
              <w:jc w:val="left"/>
              <w:rPr>
                <w:rFonts w:ascii="Times New Roman;serif" w:hAnsi="Times New Roman;serif"/>
                <w:b w:val="false"/>
                <w:color w:val="000000"/>
                <w:sz w:val="14"/>
              </w:rPr>
            </w:pPr>
            <w:r>
              <w:rPr>
                <w:rFonts w:ascii="Times New Roman;serif" w:hAnsi="Times New Roman;serif"/>
                <w:b w:val="false"/>
                <w:color w:val="000000"/>
                <w:sz w:val="14"/>
              </w:rPr>
              <w:t>Other assets</w:t>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52" w:before="0" w:after="283"/>
              <w:jc w:val="right"/>
              <w:rPr>
                <w:rFonts w:ascii="Times New Roman;serif" w:hAnsi="Times New Roman;serif"/>
                <w:b w:val="false"/>
                <w:color w:val="000000"/>
                <w:sz w:val="14"/>
              </w:rPr>
            </w:pPr>
            <w:r>
              <w:rPr>
                <w:rFonts w:ascii="Times New Roman;serif" w:hAnsi="Times New Roman;serif"/>
                <w:b w:val="false"/>
                <w:color w:val="000000"/>
                <w:sz w:val="14"/>
              </w:rPr>
              <w:t>63 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52" w:before="0" w:after="283"/>
              <w:jc w:val="right"/>
              <w:rPr>
                <w:rFonts w:ascii="Times New Roman;serif" w:hAnsi="Times New Roman;serif"/>
                <w:b w:val="false"/>
                <w:color w:val="000000"/>
                <w:sz w:val="14"/>
              </w:rPr>
            </w:pPr>
            <w:r>
              <w:rPr>
                <w:rFonts w:ascii="Times New Roman;serif" w:hAnsi="Times New Roman;serif"/>
                <w:b w:val="false"/>
                <w:color w:val="000000"/>
                <w:sz w:val="14"/>
              </w:rPr>
              <w:t>479 </w:t>
            </w:r>
          </w:p>
        </w:tc>
        <w:tc>
          <w:tcPr>
            <w:tcW w:w="17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20" w:type="dxa"/>
            <w:gridSpan w:val="3"/>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serif" w:hAnsi="Times New Roman;serif"/>
                <w:b w:val="false"/>
                <w:color w:val="000000"/>
                <w:sz w:val="14"/>
              </w:rPr>
            </w:pPr>
            <w:r>
              <w:rPr>
                <w:rFonts w:ascii="Times New Roman;serif" w:hAnsi="Times New Roman;serif"/>
                <w:b w:val="false"/>
                <w:color w:val="000000"/>
                <w:sz w:val="14"/>
              </w:rPr>
              <w:t>Accounts payable</w:t>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serif" w:hAnsi="Times New Roman;serif"/>
                <w:b w:val="false"/>
                <w:color w:val="000000"/>
                <w:sz w:val="14"/>
              </w:rPr>
            </w:pPr>
            <w:r>
              <w:rPr>
                <w:rFonts w:ascii="Times New Roman;serif" w:hAnsi="Times New Roman;serif"/>
                <w:b w:val="false"/>
                <w:color w:val="000000"/>
                <w:sz w:val="14"/>
              </w:rPr>
              <w:t>(2,220)</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serif" w:hAnsi="Times New Roman;serif"/>
                <w:b w:val="false"/>
                <w:color w:val="000000"/>
                <w:sz w:val="14"/>
              </w:rPr>
            </w:pPr>
            <w:r>
              <w:rPr>
                <w:rFonts w:ascii="Times New Roman;serif" w:hAnsi="Times New Roman;serif"/>
                <w:b w:val="false"/>
                <w:color w:val="000000"/>
                <w:sz w:val="14"/>
              </w:rPr>
              <w:t>1,404 </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20" w:type="dxa"/>
            <w:gridSpan w:val="3"/>
            <w:tcBorders/>
            <w:shd w:fill="CCEEFF" w:val="clear"/>
            <w:tcMar>
              <w:top w:w="0" w:type="dxa"/>
              <w:left w:w="0" w:type="dxa"/>
              <w:bottom w:w="0" w:type="dxa"/>
              <w:right w:w="0" w:type="dxa"/>
            </w:tcMar>
            <w:vAlign w:val="center"/>
          </w:tcPr>
          <w:p>
            <w:pPr>
              <w:pStyle w:val="TableContents"/>
              <w:bidi w:val="0"/>
              <w:spacing w:lineRule="auto" w:line="252" w:before="0" w:after="283"/>
              <w:jc w:val="left"/>
              <w:rPr>
                <w:rFonts w:ascii="Times New Roman;serif" w:hAnsi="Times New Roman;serif"/>
                <w:b w:val="false"/>
                <w:color w:val="000000"/>
                <w:sz w:val="14"/>
              </w:rPr>
            </w:pPr>
            <w:r>
              <w:rPr>
                <w:rFonts w:ascii="Times New Roman;serif" w:hAnsi="Times New Roman;serif"/>
                <w:b w:val="false"/>
                <w:color w:val="000000"/>
                <w:sz w:val="14"/>
              </w:rPr>
              <w:t>Accrued expenses and other current liabilities</w:t>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52" w:before="0" w:after="283"/>
              <w:jc w:val="right"/>
              <w:rPr>
                <w:rFonts w:ascii="Times New Roman;serif" w:hAnsi="Times New Roman;serif"/>
                <w:b w:val="false"/>
                <w:color w:val="000000"/>
                <w:sz w:val="14"/>
              </w:rPr>
            </w:pPr>
            <w:r>
              <w:rPr>
                <w:rFonts w:ascii="Times New Roman;serif" w:hAnsi="Times New Roman;serif"/>
                <w:b w:val="false"/>
                <w:color w:val="000000"/>
                <w:sz w:val="14"/>
              </w:rPr>
              <w:t>(2,646)</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52" w:before="0" w:after="283"/>
              <w:jc w:val="right"/>
              <w:rPr>
                <w:rFonts w:ascii="Times New Roman;serif" w:hAnsi="Times New Roman;serif"/>
                <w:b w:val="false"/>
                <w:color w:val="000000"/>
                <w:sz w:val="14"/>
              </w:rPr>
            </w:pPr>
            <w:r>
              <w:rPr>
                <w:rFonts w:ascii="Times New Roman;serif" w:hAnsi="Times New Roman;serif"/>
                <w:b w:val="false"/>
                <w:color w:val="000000"/>
                <w:sz w:val="14"/>
              </w:rPr>
              <w:t>(3,101)</w:t>
            </w:r>
          </w:p>
        </w:tc>
        <w:tc>
          <w:tcPr>
            <w:tcW w:w="17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20" w:type="dxa"/>
            <w:gridSpan w:val="3"/>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serif" w:hAnsi="Times New Roman;serif"/>
                <w:b w:val="false"/>
                <w:color w:val="000000"/>
                <w:sz w:val="14"/>
              </w:rPr>
            </w:pPr>
            <w:r>
              <w:rPr>
                <w:rFonts w:ascii="Times New Roman;serif" w:hAnsi="Times New Roman;serif"/>
                <w:b w:val="false"/>
                <w:color w:val="000000"/>
                <w:sz w:val="14"/>
              </w:rPr>
              <w:t>Deferred revenue, current and long-term</w:t>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serif" w:hAnsi="Times New Roman;serif"/>
                <w:b w:val="false"/>
                <w:color w:val="000000"/>
                <w:sz w:val="14"/>
              </w:rPr>
            </w:pPr>
            <w:r>
              <w:rPr>
                <w:rFonts w:ascii="Times New Roman;serif" w:hAnsi="Times New Roman;serif"/>
                <w:b w:val="false"/>
                <w:color w:val="000000"/>
                <w:sz w:val="14"/>
              </w:rPr>
              <w:t>(1,005)</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serif" w:hAnsi="Times New Roman;serif"/>
                <w:b w:val="false"/>
                <w:color w:val="000000"/>
                <w:sz w:val="14"/>
              </w:rPr>
            </w:pPr>
            <w:r>
              <w:rPr>
                <w:rFonts w:ascii="Times New Roman;serif" w:hAnsi="Times New Roman;serif"/>
                <w:b w:val="false"/>
                <w:color w:val="000000"/>
                <w:sz w:val="14"/>
              </w:rPr>
              <w:t>(996)</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20" w:type="dxa"/>
            <w:gridSpan w:val="3"/>
            <w:tcBorders/>
            <w:shd w:fill="CCEEFF" w:val="clear"/>
            <w:tcMar>
              <w:top w:w="0" w:type="dxa"/>
              <w:left w:w="0" w:type="dxa"/>
              <w:bottom w:w="0" w:type="dxa"/>
              <w:right w:w="0" w:type="dxa"/>
            </w:tcMar>
            <w:vAlign w:val="center"/>
          </w:tcPr>
          <w:p>
            <w:pPr>
              <w:pStyle w:val="TableContents"/>
              <w:bidi w:val="0"/>
              <w:spacing w:lineRule="auto" w:line="252" w:before="0" w:after="283"/>
              <w:jc w:val="left"/>
              <w:rPr>
                <w:rFonts w:ascii="Times New Roman;serif" w:hAnsi="Times New Roman;serif"/>
                <w:b w:val="false"/>
                <w:color w:val="000000"/>
                <w:sz w:val="14"/>
              </w:rPr>
            </w:pPr>
            <w:r>
              <w:rPr>
                <w:rFonts w:ascii="Times New Roman;serif" w:hAnsi="Times New Roman;serif"/>
                <w:b w:val="false"/>
                <w:color w:val="000000"/>
                <w:sz w:val="14"/>
              </w:rPr>
              <w:t>Operating lease liabilities</w:t>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52" w:before="0" w:after="283"/>
              <w:jc w:val="right"/>
              <w:rPr>
                <w:rFonts w:ascii="Times New Roman;serif" w:hAnsi="Times New Roman;serif"/>
                <w:b w:val="false"/>
                <w:color w:val="000000"/>
                <w:sz w:val="14"/>
              </w:rPr>
            </w:pPr>
            <w:r>
              <w:rPr>
                <w:rFonts w:ascii="Times New Roman;serif" w:hAnsi="Times New Roman;serif"/>
                <w:b w:val="false"/>
                <w:color w:val="000000"/>
                <w:sz w:val="14"/>
              </w:rPr>
              <w:t>(281)</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52" w:before="0" w:after="283"/>
              <w:jc w:val="right"/>
              <w:rPr>
                <w:rFonts w:ascii="Times New Roman;serif" w:hAnsi="Times New Roman;serif"/>
                <w:b w:val="false"/>
                <w:color w:val="000000"/>
                <w:sz w:val="14"/>
              </w:rPr>
            </w:pPr>
            <w:r>
              <w:rPr>
                <w:rFonts w:ascii="Times New Roman;serif" w:hAnsi="Times New Roman;serif"/>
                <w:b w:val="false"/>
                <w:color w:val="000000"/>
                <w:sz w:val="14"/>
              </w:rPr>
              <w:t>(263)</w:t>
            </w:r>
          </w:p>
        </w:tc>
        <w:tc>
          <w:tcPr>
            <w:tcW w:w="17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20" w:type="dxa"/>
            <w:gridSpan w:val="3"/>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serif" w:hAnsi="Times New Roman;serif"/>
                <w:b w:val="false"/>
                <w:color w:val="000000"/>
                <w:sz w:val="14"/>
              </w:rPr>
            </w:pPr>
            <w:r>
              <w:rPr>
                <w:rFonts w:ascii="Times New Roman;serif" w:hAnsi="Times New Roman;serif"/>
                <w:b w:val="false"/>
                <w:color w:val="000000"/>
                <w:sz w:val="14"/>
              </w:rPr>
              <w:t>Net cash used in operating activities</w:t>
            </w:r>
          </w:p>
        </w:tc>
        <w:tc>
          <w:tcPr>
            <w:tcW w:w="8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52" w:before="0" w:after="283"/>
              <w:jc w:val="right"/>
              <w:rPr>
                <w:rFonts w:ascii="Times New Roman;serif" w:hAnsi="Times New Roman;serif"/>
                <w:b w:val="false"/>
                <w:color w:val="000000"/>
                <w:sz w:val="14"/>
              </w:rPr>
            </w:pPr>
            <w:r>
              <w:rPr>
                <w:rFonts w:ascii="Times New Roman;serif" w:hAnsi="Times New Roman;serif"/>
                <w:b w:val="false"/>
                <w:color w:val="000000"/>
                <w:sz w:val="14"/>
              </w:rPr>
              <w:t>(26,984)</w:t>
            </w:r>
          </w:p>
        </w:tc>
        <w:tc>
          <w:tcPr>
            <w:tcW w:w="12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52" w:before="0" w:after="283"/>
              <w:jc w:val="right"/>
              <w:rPr>
                <w:rFonts w:ascii="Times New Roman;serif" w:hAnsi="Times New Roman;serif"/>
                <w:b w:val="false"/>
                <w:color w:val="000000"/>
                <w:sz w:val="14"/>
              </w:rPr>
            </w:pPr>
            <w:r>
              <w:rPr>
                <w:rFonts w:ascii="Times New Roman;serif" w:hAnsi="Times New Roman;serif"/>
                <w:b w:val="false"/>
                <w:color w:val="000000"/>
                <w:sz w:val="14"/>
              </w:rPr>
              <w:t>(36,725)</w:t>
            </w:r>
          </w:p>
        </w:tc>
        <w:tc>
          <w:tcPr>
            <w:tcW w:w="17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20" w:type="dxa"/>
            <w:gridSpan w:val="3"/>
            <w:tcBorders/>
            <w:shd w:fill="CCEEFF" w:val="clear"/>
            <w:tcMar>
              <w:top w:w="0" w:type="dxa"/>
              <w:left w:w="0" w:type="dxa"/>
              <w:bottom w:w="0" w:type="dxa"/>
              <w:right w:w="0" w:type="dxa"/>
            </w:tcMar>
            <w:vAlign w:val="center"/>
          </w:tcPr>
          <w:p>
            <w:pPr>
              <w:pStyle w:val="TableContents"/>
              <w:bidi w:val="0"/>
              <w:spacing w:lineRule="auto" w:line="252" w:before="0" w:after="283"/>
              <w:jc w:val="left"/>
              <w:rPr>
                <w:rFonts w:ascii="Times New Roman;serif" w:hAnsi="Times New Roman;serif"/>
                <w:b w:val="false"/>
                <w:color w:val="000000"/>
                <w:sz w:val="14"/>
              </w:rPr>
            </w:pPr>
            <w:r>
              <w:rPr>
                <w:rFonts w:ascii="Times New Roman;serif" w:hAnsi="Times New Roman;serif"/>
                <w:b w:val="false"/>
                <w:color w:val="000000"/>
                <w:sz w:val="14"/>
              </w:rPr>
              <w:t>CASH FLOWS FROM INVESTING ACTIVITIES:</w:t>
            </w:r>
          </w:p>
        </w:tc>
        <w:tc>
          <w:tcPr>
            <w:tcW w:w="101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20" w:type="dxa"/>
            <w:gridSpan w:val="3"/>
            <w:tcBorders/>
            <w:shd w:fill="FFFFFF" w:val="clear"/>
            <w:tcMar>
              <w:top w:w="0" w:type="dxa"/>
              <w:left w:w="0" w:type="dxa"/>
              <w:bottom w:w="0" w:type="dxa"/>
              <w:right w:w="0" w:type="dxa"/>
            </w:tcMar>
            <w:vAlign w:val="center"/>
          </w:tcPr>
          <w:p>
            <w:pPr>
              <w:pStyle w:val="TableContents"/>
              <w:bidi w:val="0"/>
              <w:spacing w:lineRule="auto" w:line="252" w:before="0" w:after="0"/>
              <w:jc w:val="left"/>
              <w:rPr>
                <w:rFonts w:ascii="Times New Roman;serif" w:hAnsi="Times New Roman;serif"/>
                <w:b w:val="false"/>
                <w:color w:val="000000"/>
                <w:sz w:val="14"/>
              </w:rPr>
            </w:pPr>
            <w:r>
              <w:rPr>
                <w:rFonts w:ascii="Times New Roman;serif" w:hAnsi="Times New Roman;serif"/>
                <w:b w:val="false"/>
                <w:color w:val="000000"/>
                <w:sz w:val="14"/>
              </w:rPr>
              <w:t>Proceeds from maturities of marketable securities</w:t>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serif" w:hAnsi="Times New Roman;serif"/>
                <w:b w:val="false"/>
                <w:color w:val="000000"/>
                <w:sz w:val="14"/>
              </w:rPr>
            </w:pPr>
            <w:r>
              <w:rPr>
                <w:rFonts w:ascii="Times New Roman;serif" w:hAnsi="Times New Roman;serif"/>
                <w:b w:val="false"/>
                <w:color w:val="000000"/>
                <w:sz w:val="14"/>
              </w:rPr>
              <w:t>46,142 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serif" w:hAnsi="Times New Roman;serif"/>
                <w:b w:val="false"/>
                <w:color w:val="000000"/>
                <w:sz w:val="14"/>
              </w:rPr>
            </w:pPr>
            <w:r>
              <w:rPr>
                <w:rFonts w:ascii="Times New Roman;serif" w:hAnsi="Times New Roman;serif"/>
                <w:b w:val="false"/>
                <w:color w:val="000000"/>
                <w:sz w:val="14"/>
              </w:rPr>
              <w:t>65,955 </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20" w:type="dxa"/>
            <w:gridSpan w:val="3"/>
            <w:tcBorders/>
            <w:shd w:fill="CCEEFF" w:val="clear"/>
            <w:tcMar>
              <w:top w:w="0" w:type="dxa"/>
              <w:left w:w="0" w:type="dxa"/>
              <w:bottom w:w="0" w:type="dxa"/>
              <w:right w:w="0" w:type="dxa"/>
            </w:tcMar>
            <w:vAlign w:val="center"/>
          </w:tcPr>
          <w:p>
            <w:pPr>
              <w:pStyle w:val="TableContents"/>
              <w:bidi w:val="0"/>
              <w:spacing w:lineRule="auto" w:line="252" w:before="0" w:after="283"/>
              <w:jc w:val="left"/>
              <w:rPr>
                <w:rFonts w:ascii="Times New Roman;serif" w:hAnsi="Times New Roman;serif"/>
                <w:b w:val="false"/>
                <w:color w:val="000000"/>
                <w:sz w:val="14"/>
              </w:rPr>
            </w:pPr>
            <w:r>
              <w:rPr>
                <w:rFonts w:ascii="Times New Roman;serif" w:hAnsi="Times New Roman;serif"/>
                <w:b w:val="false"/>
                <w:color w:val="000000"/>
                <w:sz w:val="14"/>
              </w:rPr>
              <w:t>Purchases of marketable securities</w:t>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52" w:before="0" w:after="283"/>
              <w:jc w:val="right"/>
              <w:rPr>
                <w:rFonts w:ascii="Times New Roman;serif" w:hAnsi="Times New Roman;serif"/>
                <w:b w:val="false"/>
                <w:color w:val="000000"/>
                <w:sz w:val="14"/>
              </w:rPr>
            </w:pPr>
            <w:r>
              <w:rPr>
                <w:rFonts w:ascii="Times New Roman;serif" w:hAnsi="Times New Roman;serif"/>
                <w:b w:val="false"/>
                <w:color w:val="000000"/>
                <w:sz w:val="14"/>
              </w:rPr>
              <w:t>(22,085)</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52" w:before="0" w:after="283"/>
              <w:jc w:val="right"/>
              <w:rPr>
                <w:rFonts w:ascii="Times New Roman;serif" w:hAnsi="Times New Roman;serif"/>
                <w:b w:val="false"/>
                <w:color w:val="000000"/>
                <w:sz w:val="14"/>
              </w:rPr>
            </w:pPr>
            <w:r>
              <w:rPr>
                <w:rFonts w:ascii="Times New Roman;serif" w:hAnsi="Times New Roman;serif"/>
                <w:b w:val="false"/>
                <w:color w:val="000000"/>
                <w:sz w:val="14"/>
              </w:rPr>
              <w:t>(15,532)</w:t>
            </w:r>
          </w:p>
        </w:tc>
        <w:tc>
          <w:tcPr>
            <w:tcW w:w="17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20" w:type="dxa"/>
            <w:gridSpan w:val="3"/>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serif" w:hAnsi="Times New Roman;serif"/>
                <w:b w:val="false"/>
                <w:color w:val="000000"/>
                <w:sz w:val="14"/>
              </w:rPr>
            </w:pPr>
            <w:r>
              <w:rPr>
                <w:rFonts w:ascii="Times New Roman;serif" w:hAnsi="Times New Roman;serif"/>
                <w:b w:val="false"/>
                <w:color w:val="000000"/>
                <w:sz w:val="14"/>
              </w:rPr>
              <w:t>Purchases of property and equipment</w:t>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serif" w:hAnsi="Times New Roman;serif"/>
                <w:b w:val="false"/>
                <w:color w:val="000000"/>
                <w:sz w:val="14"/>
              </w:rPr>
            </w:pPr>
            <w:r>
              <w:rPr>
                <w:rFonts w:ascii="Times New Roman;serif" w:hAnsi="Times New Roman;serif"/>
                <w:b w:val="false"/>
                <w:color w:val="000000"/>
                <w:sz w:val="14"/>
              </w:rPr>
              <w:t>(72)</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serif" w:hAnsi="Times New Roman;serif"/>
                <w:b w:val="false"/>
                <w:color w:val="000000"/>
                <w:sz w:val="14"/>
              </w:rPr>
            </w:pPr>
            <w:r>
              <w:rPr>
                <w:rFonts w:ascii="Times New Roman;serif" w:hAnsi="Times New Roman;serif"/>
                <w:b w:val="false"/>
                <w:color w:val="000000"/>
                <w:sz w:val="14"/>
              </w:rPr>
              <w:t>(1,042)</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20" w:type="dxa"/>
            <w:gridSpan w:val="3"/>
            <w:tcBorders/>
            <w:shd w:fill="CCEEFF" w:val="clear"/>
            <w:tcMar>
              <w:top w:w="0" w:type="dxa"/>
              <w:left w:w="0" w:type="dxa"/>
              <w:bottom w:w="0" w:type="dxa"/>
              <w:right w:w="0" w:type="dxa"/>
            </w:tcMar>
            <w:vAlign w:val="center"/>
          </w:tcPr>
          <w:p>
            <w:pPr>
              <w:pStyle w:val="TableContents"/>
              <w:bidi w:val="0"/>
              <w:spacing w:lineRule="auto" w:line="252" w:before="0" w:after="283"/>
              <w:jc w:val="left"/>
              <w:rPr>
                <w:rFonts w:ascii="Times New Roman;serif" w:hAnsi="Times New Roman;serif"/>
                <w:b w:val="false"/>
                <w:color w:val="000000"/>
                <w:sz w:val="14"/>
              </w:rPr>
            </w:pPr>
            <w:r>
              <w:rPr>
                <w:rFonts w:ascii="Times New Roman;serif" w:hAnsi="Times New Roman;serif"/>
                <w:b w:val="false"/>
                <w:color w:val="000000"/>
                <w:sz w:val="14"/>
              </w:rPr>
              <w:t>Net cash provided by investing activities</w:t>
            </w:r>
          </w:p>
        </w:tc>
        <w:tc>
          <w:tcPr>
            <w:tcW w:w="8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52" w:before="0" w:after="283"/>
              <w:jc w:val="right"/>
              <w:rPr>
                <w:rFonts w:ascii="Times New Roman;serif" w:hAnsi="Times New Roman;serif"/>
                <w:b w:val="false"/>
                <w:color w:val="000000"/>
                <w:sz w:val="14"/>
              </w:rPr>
            </w:pPr>
            <w:r>
              <w:rPr>
                <w:rFonts w:ascii="Times New Roman;serif" w:hAnsi="Times New Roman;serif"/>
                <w:b w:val="false"/>
                <w:color w:val="000000"/>
                <w:sz w:val="14"/>
              </w:rPr>
              <w:t>23,985 </w:t>
            </w:r>
          </w:p>
        </w:tc>
        <w:tc>
          <w:tcPr>
            <w:tcW w:w="12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52" w:before="0" w:after="283"/>
              <w:jc w:val="right"/>
              <w:rPr>
                <w:rFonts w:ascii="Times New Roman;serif" w:hAnsi="Times New Roman;serif"/>
                <w:b w:val="false"/>
                <w:color w:val="000000"/>
                <w:sz w:val="14"/>
              </w:rPr>
            </w:pPr>
            <w:r>
              <w:rPr>
                <w:rFonts w:ascii="Times New Roman;serif" w:hAnsi="Times New Roman;serif"/>
                <w:b w:val="false"/>
                <w:color w:val="000000"/>
                <w:sz w:val="14"/>
              </w:rPr>
              <w:t>49,381 </w:t>
            </w:r>
          </w:p>
        </w:tc>
        <w:tc>
          <w:tcPr>
            <w:tcW w:w="17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20" w:type="dxa"/>
            <w:gridSpan w:val="3"/>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serif" w:hAnsi="Times New Roman;serif"/>
                <w:b w:val="false"/>
                <w:color w:val="000000"/>
                <w:sz w:val="14"/>
              </w:rPr>
            </w:pPr>
            <w:r>
              <w:rPr>
                <w:rFonts w:ascii="Times New Roman;serif" w:hAnsi="Times New Roman;serif"/>
                <w:b w:val="false"/>
                <w:color w:val="000000"/>
                <w:sz w:val="14"/>
              </w:rPr>
              <w:t>CASH FLOWS FROM FINANCING ACTIVITIES:</w:t>
            </w:r>
          </w:p>
        </w:tc>
        <w:tc>
          <w:tcPr>
            <w:tcW w:w="1010"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20" w:type="dxa"/>
            <w:gridSpan w:val="3"/>
            <w:tcBorders/>
            <w:shd w:fill="CCEEFF" w:val="clear"/>
            <w:tcMar>
              <w:top w:w="0" w:type="dxa"/>
              <w:left w:w="0" w:type="dxa"/>
              <w:bottom w:w="0" w:type="dxa"/>
              <w:right w:w="0" w:type="dxa"/>
            </w:tcMar>
            <w:vAlign w:val="center"/>
          </w:tcPr>
          <w:p>
            <w:pPr>
              <w:pStyle w:val="TableContents"/>
              <w:bidi w:val="0"/>
              <w:spacing w:lineRule="auto" w:line="252" w:before="0" w:after="0"/>
              <w:jc w:val="left"/>
              <w:rPr>
                <w:rFonts w:ascii="Times New Roman;serif" w:hAnsi="Times New Roman;serif"/>
                <w:b w:val="false"/>
                <w:color w:val="000000"/>
                <w:sz w:val="14"/>
              </w:rPr>
            </w:pPr>
            <w:r>
              <w:rPr>
                <w:rFonts w:ascii="Times New Roman;serif" w:hAnsi="Times New Roman;serif"/>
                <w:b w:val="false"/>
                <w:color w:val="000000"/>
                <w:sz w:val="14"/>
              </w:rPr>
              <w:t>Proceeds from exercise of stock options</w:t>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52" w:before="0" w:after="283"/>
              <w:jc w:val="right"/>
              <w:rPr>
                <w:rFonts w:ascii="Times New Roman;serif" w:hAnsi="Times New Roman;serif"/>
                <w:b w:val="false"/>
                <w:color w:val="000000"/>
                <w:sz w:val="14"/>
              </w:rPr>
            </w:pPr>
            <w:r>
              <w:rPr>
                <w:rFonts w:ascii="Times New Roman;serif" w:hAnsi="Times New Roman;serif"/>
                <w:b w:val="false"/>
                <w:color w:val="000000"/>
                <w:sz w:val="14"/>
              </w:rPr>
              <w:t>9 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52" w:before="0" w:after="283"/>
              <w:jc w:val="right"/>
              <w:rPr>
                <w:color w:val="000000"/>
              </w:rPr>
            </w:pPr>
            <w:r>
              <w:rPr>
                <w:color w:val="000000"/>
              </w:rPr>
              <w:t>— </w:t>
            </w:r>
          </w:p>
        </w:tc>
        <w:tc>
          <w:tcPr>
            <w:tcW w:w="17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20" w:type="dxa"/>
            <w:gridSpan w:val="3"/>
            <w:tcBorders/>
            <w:shd w:fill="FFFFFF" w:val="clear"/>
            <w:tcMar>
              <w:top w:w="0" w:type="dxa"/>
              <w:left w:w="0" w:type="dxa"/>
              <w:bottom w:w="0" w:type="dxa"/>
              <w:right w:w="0" w:type="dxa"/>
            </w:tcMar>
            <w:vAlign w:val="center"/>
          </w:tcPr>
          <w:p>
            <w:pPr>
              <w:pStyle w:val="TableContents"/>
              <w:bidi w:val="0"/>
              <w:spacing w:lineRule="auto" w:line="252" w:before="0" w:after="0"/>
              <w:jc w:val="left"/>
              <w:rPr>
                <w:rFonts w:ascii="Times New Roman;serif" w:hAnsi="Times New Roman;serif"/>
                <w:b w:val="false"/>
                <w:color w:val="000000"/>
                <w:sz w:val="14"/>
              </w:rPr>
            </w:pPr>
            <w:r>
              <w:rPr>
                <w:rFonts w:ascii="Times New Roman;serif" w:hAnsi="Times New Roman;serif"/>
                <w:b w:val="false"/>
                <w:color w:val="000000"/>
                <w:sz w:val="14"/>
              </w:rPr>
              <w:t>Proceeds from issuances of common stock under ESPP</w:t>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serif" w:hAnsi="Times New Roman;serif"/>
                <w:b w:val="false"/>
                <w:color w:val="000000"/>
                <w:sz w:val="14"/>
              </w:rPr>
            </w:pPr>
            <w:r>
              <w:rPr>
                <w:rFonts w:ascii="Times New Roman;serif" w:hAnsi="Times New Roman;serif"/>
                <w:b w:val="false"/>
                <w:color w:val="000000"/>
                <w:sz w:val="14"/>
              </w:rPr>
              <w:t>468 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serif" w:hAnsi="Times New Roman;serif"/>
                <w:b w:val="false"/>
                <w:color w:val="000000"/>
                <w:sz w:val="14"/>
              </w:rPr>
            </w:pPr>
            <w:r>
              <w:rPr>
                <w:rFonts w:ascii="Times New Roman;serif" w:hAnsi="Times New Roman;serif"/>
                <w:b w:val="false"/>
                <w:color w:val="000000"/>
                <w:sz w:val="14"/>
              </w:rPr>
              <w:t>468 </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20" w:type="dxa"/>
            <w:gridSpan w:val="3"/>
            <w:tcBorders/>
            <w:shd w:fill="CCEEFF" w:val="clear"/>
            <w:tcMar>
              <w:top w:w="0" w:type="dxa"/>
              <w:left w:w="0" w:type="dxa"/>
              <w:bottom w:w="0" w:type="dxa"/>
              <w:right w:w="0" w:type="dxa"/>
            </w:tcMar>
            <w:vAlign w:val="center"/>
          </w:tcPr>
          <w:p>
            <w:pPr>
              <w:pStyle w:val="TableContents"/>
              <w:bidi w:val="0"/>
              <w:spacing w:lineRule="auto" w:line="252" w:before="0" w:after="283"/>
              <w:jc w:val="left"/>
              <w:rPr>
                <w:rFonts w:ascii="Times New Roman;serif" w:hAnsi="Times New Roman;serif"/>
                <w:b w:val="false"/>
                <w:color w:val="000000"/>
                <w:sz w:val="14"/>
              </w:rPr>
            </w:pPr>
            <w:r>
              <w:rPr>
                <w:rFonts w:ascii="Times New Roman;serif" w:hAnsi="Times New Roman;serif"/>
                <w:b w:val="false"/>
                <w:color w:val="000000"/>
                <w:sz w:val="14"/>
              </w:rPr>
              <w:t>Proceeds from issuances of common stock related to ATM, net of offering expenses</w:t>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52" w:before="0" w:after="283"/>
              <w:jc w:val="right"/>
              <w:rPr>
                <w:rFonts w:ascii="Times New Roman;serif" w:hAnsi="Times New Roman;serif"/>
                <w:b w:val="false"/>
                <w:color w:val="000000"/>
                <w:sz w:val="14"/>
              </w:rPr>
            </w:pPr>
            <w:r>
              <w:rPr>
                <w:rFonts w:ascii="Times New Roman;serif" w:hAnsi="Times New Roman;serif"/>
                <w:b w:val="false"/>
                <w:color w:val="000000"/>
                <w:sz w:val="14"/>
              </w:rPr>
              <w:t>2,219 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52" w:before="0" w:after="283"/>
              <w:jc w:val="right"/>
              <w:rPr>
                <w:color w:val="000000"/>
              </w:rPr>
            </w:pPr>
            <w:r>
              <w:rPr>
                <w:color w:val="000000"/>
              </w:rPr>
              <w:t>— </w:t>
            </w:r>
          </w:p>
        </w:tc>
        <w:tc>
          <w:tcPr>
            <w:tcW w:w="17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20" w:type="dxa"/>
            <w:gridSpan w:val="3"/>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serif" w:hAnsi="Times New Roman;serif"/>
                <w:b w:val="false"/>
                <w:color w:val="000000"/>
                <w:sz w:val="14"/>
              </w:rPr>
            </w:pPr>
            <w:r>
              <w:rPr>
                <w:rFonts w:ascii="Times New Roman;serif" w:hAnsi="Times New Roman;serif"/>
                <w:b w:val="false"/>
                <w:color w:val="000000"/>
                <w:sz w:val="14"/>
              </w:rPr>
              <w:t>Net cash provided by financing activities</w:t>
            </w:r>
          </w:p>
        </w:tc>
        <w:tc>
          <w:tcPr>
            <w:tcW w:w="8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52" w:before="0" w:after="283"/>
              <w:jc w:val="right"/>
              <w:rPr>
                <w:rFonts w:ascii="Times New Roman;serif" w:hAnsi="Times New Roman;serif"/>
                <w:b w:val="false"/>
                <w:color w:val="000000"/>
                <w:sz w:val="14"/>
              </w:rPr>
            </w:pPr>
            <w:r>
              <w:rPr>
                <w:rFonts w:ascii="Times New Roman;serif" w:hAnsi="Times New Roman;serif"/>
                <w:b w:val="false"/>
                <w:color w:val="000000"/>
                <w:sz w:val="14"/>
              </w:rPr>
              <w:t>2,696 </w:t>
            </w:r>
          </w:p>
        </w:tc>
        <w:tc>
          <w:tcPr>
            <w:tcW w:w="12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52" w:before="0" w:after="283"/>
              <w:jc w:val="right"/>
              <w:rPr>
                <w:rFonts w:ascii="Times New Roman;serif" w:hAnsi="Times New Roman;serif"/>
                <w:b w:val="false"/>
                <w:color w:val="000000"/>
                <w:sz w:val="14"/>
              </w:rPr>
            </w:pPr>
            <w:r>
              <w:rPr>
                <w:rFonts w:ascii="Times New Roman;serif" w:hAnsi="Times New Roman;serif"/>
                <w:b w:val="false"/>
                <w:color w:val="000000"/>
                <w:sz w:val="14"/>
              </w:rPr>
              <w:t>468 </w:t>
            </w:r>
          </w:p>
        </w:tc>
        <w:tc>
          <w:tcPr>
            <w:tcW w:w="17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20" w:type="dxa"/>
            <w:gridSpan w:val="3"/>
            <w:tcBorders/>
            <w:shd w:fill="CCEEFF" w:val="clear"/>
            <w:tcMar>
              <w:top w:w="0" w:type="dxa"/>
              <w:left w:w="0" w:type="dxa"/>
              <w:bottom w:w="0" w:type="dxa"/>
              <w:right w:w="0" w:type="dxa"/>
            </w:tcMar>
            <w:vAlign w:val="center"/>
          </w:tcPr>
          <w:p>
            <w:pPr>
              <w:pStyle w:val="TableContents"/>
              <w:bidi w:val="0"/>
              <w:spacing w:lineRule="auto" w:line="252" w:before="0" w:after="283"/>
              <w:jc w:val="left"/>
              <w:rPr>
                <w:rFonts w:ascii="Times New Roman;serif" w:hAnsi="Times New Roman;serif"/>
                <w:b w:val="false"/>
                <w:color w:val="000000"/>
                <w:sz w:val="14"/>
              </w:rPr>
            </w:pPr>
            <w:r>
              <w:rPr>
                <w:rFonts w:ascii="Times New Roman;serif" w:hAnsi="Times New Roman;serif"/>
                <w:b w:val="false"/>
                <w:color w:val="000000"/>
                <w:sz w:val="14"/>
              </w:rPr>
              <w:t>NET (DECREASE) INCREASE IN CASH, CASH EQUIVALENTS, AND RESTRICTED CASH</w:t>
            </w:r>
          </w:p>
        </w:tc>
        <w:tc>
          <w:tcPr>
            <w:tcW w:w="8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52" w:before="0" w:after="283"/>
              <w:jc w:val="right"/>
              <w:rPr>
                <w:rFonts w:ascii="Times New Roman;serif" w:hAnsi="Times New Roman;serif"/>
                <w:b w:val="false"/>
                <w:color w:val="000000"/>
                <w:sz w:val="14"/>
              </w:rPr>
            </w:pPr>
            <w:r>
              <w:rPr>
                <w:rFonts w:ascii="Times New Roman;serif" w:hAnsi="Times New Roman;serif"/>
                <w:b w:val="false"/>
                <w:color w:val="000000"/>
                <w:sz w:val="14"/>
              </w:rPr>
              <w:t>(303)</w:t>
            </w:r>
          </w:p>
        </w:tc>
        <w:tc>
          <w:tcPr>
            <w:tcW w:w="12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52" w:before="0" w:after="283"/>
              <w:jc w:val="right"/>
              <w:rPr>
                <w:rFonts w:ascii="Times New Roman;serif" w:hAnsi="Times New Roman;serif"/>
                <w:b w:val="false"/>
                <w:color w:val="000000"/>
                <w:sz w:val="14"/>
              </w:rPr>
            </w:pPr>
            <w:r>
              <w:rPr>
                <w:rFonts w:ascii="Times New Roman;serif" w:hAnsi="Times New Roman;serif"/>
                <w:b w:val="false"/>
                <w:color w:val="000000"/>
                <w:sz w:val="14"/>
              </w:rPr>
              <w:t>13,124 </w:t>
            </w:r>
          </w:p>
        </w:tc>
        <w:tc>
          <w:tcPr>
            <w:tcW w:w="17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20" w:type="dxa"/>
            <w:gridSpan w:val="3"/>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serif" w:hAnsi="Times New Roman;serif"/>
                <w:b w:val="false"/>
                <w:color w:val="000000"/>
                <w:sz w:val="14"/>
              </w:rPr>
            </w:pPr>
            <w:r>
              <w:rPr>
                <w:rFonts w:ascii="Times New Roman;serif" w:hAnsi="Times New Roman;serif"/>
                <w:b w:val="false"/>
                <w:color w:val="000000"/>
                <w:sz w:val="14"/>
              </w:rPr>
              <w:t>CASH, CASH EQUIVALENTS, AND RESTRICTED CASH — BEGINNING OF PERIOD</w:t>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serif" w:hAnsi="Times New Roman;serif"/>
                <w:b w:val="false"/>
                <w:color w:val="000000"/>
                <w:sz w:val="14"/>
              </w:rPr>
            </w:pPr>
            <w:r>
              <w:rPr>
                <w:rFonts w:ascii="Times New Roman;serif" w:hAnsi="Times New Roman;serif"/>
                <w:b w:val="false"/>
                <w:color w:val="000000"/>
                <w:sz w:val="14"/>
              </w:rPr>
              <w:t>12,406 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serif" w:hAnsi="Times New Roman;serif"/>
                <w:b w:val="false"/>
                <w:color w:val="000000"/>
                <w:sz w:val="14"/>
              </w:rPr>
            </w:pPr>
            <w:r>
              <w:rPr>
                <w:rFonts w:ascii="Times New Roman;serif" w:hAnsi="Times New Roman;serif"/>
                <w:b w:val="false"/>
                <w:color w:val="000000"/>
                <w:sz w:val="14"/>
              </w:rPr>
              <w:t>16,339 </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20" w:type="dxa"/>
            <w:gridSpan w:val="3"/>
            <w:tcBorders/>
            <w:shd w:fill="CCEEFF" w:val="clear"/>
            <w:tcMar>
              <w:top w:w="0" w:type="dxa"/>
              <w:left w:w="0" w:type="dxa"/>
              <w:bottom w:w="0" w:type="dxa"/>
              <w:right w:w="0" w:type="dxa"/>
            </w:tcMar>
            <w:vAlign w:val="center"/>
          </w:tcPr>
          <w:p>
            <w:pPr>
              <w:pStyle w:val="TableContents"/>
              <w:bidi w:val="0"/>
              <w:spacing w:lineRule="auto" w:line="252" w:before="0" w:after="283"/>
              <w:jc w:val="left"/>
              <w:rPr>
                <w:rFonts w:ascii="Times New Roman;serif" w:hAnsi="Times New Roman;serif"/>
                <w:b w:val="false"/>
                <w:color w:val="000000"/>
                <w:sz w:val="14"/>
              </w:rPr>
            </w:pPr>
            <w:r>
              <w:rPr>
                <w:rFonts w:ascii="Times New Roman;serif" w:hAnsi="Times New Roman;serif"/>
                <w:b w:val="false"/>
                <w:color w:val="000000"/>
                <w:sz w:val="14"/>
              </w:rPr>
              <w:t>CASH, CASH EQUIVALENTS, AND RESTRICTED CASH — END OF PERIOD</w:t>
            </w:r>
          </w:p>
        </w:tc>
        <w:tc>
          <w:tcPr>
            <w:tcW w:w="20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52"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68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52" w:before="0" w:after="283"/>
              <w:jc w:val="right"/>
              <w:rPr>
                <w:rFonts w:ascii="Times New Roman;serif" w:hAnsi="Times New Roman;serif"/>
                <w:b w:val="false"/>
                <w:color w:val="000000"/>
                <w:sz w:val="14"/>
              </w:rPr>
            </w:pPr>
            <w:r>
              <w:rPr>
                <w:rFonts w:ascii="Times New Roman;serif" w:hAnsi="Times New Roman;serif"/>
                <w:b w:val="false"/>
                <w:color w:val="000000"/>
                <w:sz w:val="14"/>
              </w:rPr>
              <w:t>12,103 </w:t>
            </w:r>
          </w:p>
        </w:tc>
        <w:tc>
          <w:tcPr>
            <w:tcW w:w="12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52"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68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52" w:before="0" w:after="283"/>
              <w:jc w:val="right"/>
              <w:rPr>
                <w:rFonts w:ascii="Times New Roman;serif" w:hAnsi="Times New Roman;serif"/>
                <w:b w:val="false"/>
                <w:color w:val="000000"/>
                <w:sz w:val="14"/>
              </w:rPr>
            </w:pPr>
            <w:r>
              <w:rPr>
                <w:rFonts w:ascii="Times New Roman;serif" w:hAnsi="Times New Roman;serif"/>
                <w:b w:val="false"/>
                <w:color w:val="000000"/>
                <w:sz w:val="14"/>
              </w:rPr>
              <w:t>29,463 </w:t>
            </w:r>
          </w:p>
        </w:tc>
        <w:tc>
          <w:tcPr>
            <w:tcW w:w="17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20" w:type="dxa"/>
            <w:gridSpan w:val="3"/>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serif" w:hAnsi="Times New Roman;serif"/>
                <w:b w:val="false"/>
                <w:color w:val="000000"/>
                <w:sz w:val="14"/>
              </w:rPr>
            </w:pPr>
            <w:r>
              <w:rPr>
                <w:rFonts w:ascii="Times New Roman;serif" w:hAnsi="Times New Roman;serif"/>
                <w:b w:val="false"/>
                <w:color w:val="000000"/>
                <w:sz w:val="14"/>
              </w:rPr>
              <w:t>RECONCILIATION OF CASH, CASH EQUIVALENTS, AND RESTRICTED CASH</w:t>
            </w:r>
          </w:p>
        </w:tc>
        <w:tc>
          <w:tcPr>
            <w:tcW w:w="1010"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20" w:type="dxa"/>
            <w:gridSpan w:val="3"/>
            <w:tcBorders/>
            <w:shd w:fill="CCEEFF" w:val="clear"/>
            <w:tcMar>
              <w:top w:w="0" w:type="dxa"/>
              <w:left w:w="0" w:type="dxa"/>
              <w:bottom w:w="0" w:type="dxa"/>
              <w:right w:w="0" w:type="dxa"/>
            </w:tcMar>
            <w:vAlign w:val="center"/>
          </w:tcPr>
          <w:p>
            <w:pPr>
              <w:pStyle w:val="TableContents"/>
              <w:bidi w:val="0"/>
              <w:spacing w:lineRule="auto" w:line="252" w:before="0" w:after="283"/>
              <w:jc w:val="left"/>
              <w:rPr>
                <w:rFonts w:ascii="Times New Roman;serif" w:hAnsi="Times New Roman;serif"/>
                <w:b w:val="false"/>
                <w:color w:val="000000"/>
                <w:sz w:val="14"/>
              </w:rPr>
            </w:pPr>
            <w:r>
              <w:rPr>
                <w:rFonts w:ascii="Times New Roman;serif" w:hAnsi="Times New Roman;serif"/>
                <w:b w:val="false"/>
                <w:color w:val="000000"/>
                <w:sz w:val="14"/>
              </w:rPr>
              <w:t>Cash and cash equivalents</w:t>
            </w:r>
          </w:p>
        </w:tc>
        <w:tc>
          <w:tcPr>
            <w:tcW w:w="205" w:type="dxa"/>
            <w:tcBorders/>
            <w:shd w:fill="CCEEFF" w:val="clear"/>
            <w:tcMar>
              <w:top w:w="0" w:type="dxa"/>
              <w:left w:w="0" w:type="dxa"/>
              <w:bottom w:w="0" w:type="dxa"/>
              <w:right w:w="0" w:type="dxa"/>
            </w:tcMar>
            <w:vAlign w:val="center"/>
          </w:tcPr>
          <w:p>
            <w:pPr>
              <w:pStyle w:val="TableContents"/>
              <w:bidi w:val="0"/>
              <w:spacing w:lineRule="auto" w:line="252"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682" w:type="dxa"/>
            <w:tcBorders/>
            <w:shd w:fill="CCEEFF" w:val="clear"/>
            <w:tcMar>
              <w:top w:w="0" w:type="dxa"/>
              <w:left w:w="0" w:type="dxa"/>
              <w:bottom w:w="0" w:type="dxa"/>
              <w:right w:w="0" w:type="dxa"/>
            </w:tcMar>
            <w:vAlign w:val="center"/>
          </w:tcPr>
          <w:p>
            <w:pPr>
              <w:pStyle w:val="TableContents"/>
              <w:bidi w:val="0"/>
              <w:spacing w:lineRule="auto" w:line="252" w:before="0" w:after="283"/>
              <w:jc w:val="right"/>
              <w:rPr>
                <w:rFonts w:ascii="Times New Roman;serif" w:hAnsi="Times New Roman;serif"/>
                <w:b w:val="false"/>
                <w:color w:val="000000"/>
                <w:sz w:val="14"/>
              </w:rPr>
            </w:pPr>
            <w:r>
              <w:rPr>
                <w:rFonts w:ascii="Times New Roman;serif" w:hAnsi="Times New Roman;serif"/>
                <w:b w:val="false"/>
                <w:color w:val="000000"/>
                <w:sz w:val="14"/>
              </w:rPr>
              <w:t>12,057 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 w:type="dxa"/>
            <w:tcBorders/>
            <w:shd w:fill="CCEEFF" w:val="clear"/>
            <w:tcMar>
              <w:top w:w="0" w:type="dxa"/>
              <w:left w:w="0" w:type="dxa"/>
              <w:bottom w:w="0" w:type="dxa"/>
              <w:right w:w="0" w:type="dxa"/>
            </w:tcMar>
            <w:vAlign w:val="center"/>
          </w:tcPr>
          <w:p>
            <w:pPr>
              <w:pStyle w:val="TableContents"/>
              <w:bidi w:val="0"/>
              <w:spacing w:lineRule="auto" w:line="252"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682" w:type="dxa"/>
            <w:tcBorders/>
            <w:shd w:fill="CCEEFF" w:val="clear"/>
            <w:tcMar>
              <w:top w:w="0" w:type="dxa"/>
              <w:left w:w="0" w:type="dxa"/>
              <w:bottom w:w="0" w:type="dxa"/>
              <w:right w:w="0" w:type="dxa"/>
            </w:tcMar>
            <w:vAlign w:val="center"/>
          </w:tcPr>
          <w:p>
            <w:pPr>
              <w:pStyle w:val="TableContents"/>
              <w:bidi w:val="0"/>
              <w:spacing w:lineRule="auto" w:line="252" w:before="0" w:after="283"/>
              <w:jc w:val="right"/>
              <w:rPr>
                <w:rFonts w:ascii="Times New Roman;serif" w:hAnsi="Times New Roman;serif"/>
                <w:b w:val="false"/>
                <w:color w:val="000000"/>
                <w:sz w:val="14"/>
              </w:rPr>
            </w:pPr>
            <w:r>
              <w:rPr>
                <w:rFonts w:ascii="Times New Roman;serif" w:hAnsi="Times New Roman;serif"/>
                <w:b w:val="false"/>
                <w:color w:val="000000"/>
                <w:sz w:val="14"/>
              </w:rPr>
              <w:t>29,417 </w:t>
            </w:r>
          </w:p>
        </w:tc>
        <w:tc>
          <w:tcPr>
            <w:tcW w:w="17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20" w:type="dxa"/>
            <w:gridSpan w:val="3"/>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serif" w:hAnsi="Times New Roman;serif"/>
                <w:b w:val="false"/>
                <w:color w:val="000000"/>
                <w:sz w:val="14"/>
              </w:rPr>
            </w:pPr>
            <w:r>
              <w:rPr>
                <w:rFonts w:ascii="Times New Roman;serif" w:hAnsi="Times New Roman;serif"/>
                <w:b w:val="false"/>
                <w:color w:val="000000"/>
                <w:sz w:val="14"/>
              </w:rPr>
              <w:t>Restricted cash</w:t>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serif" w:hAnsi="Times New Roman;serif"/>
                <w:b w:val="false"/>
                <w:color w:val="000000"/>
                <w:sz w:val="14"/>
              </w:rPr>
            </w:pPr>
            <w:r>
              <w:rPr>
                <w:rFonts w:ascii="Times New Roman;serif" w:hAnsi="Times New Roman;serif"/>
                <w:b w:val="false"/>
                <w:color w:val="000000"/>
                <w:sz w:val="14"/>
              </w:rPr>
              <w:t>46 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serif" w:hAnsi="Times New Roman;serif"/>
                <w:b w:val="false"/>
                <w:color w:val="000000"/>
                <w:sz w:val="14"/>
              </w:rPr>
            </w:pPr>
            <w:r>
              <w:rPr>
                <w:rFonts w:ascii="Times New Roman;serif" w:hAnsi="Times New Roman;serif"/>
                <w:b w:val="false"/>
                <w:color w:val="000000"/>
                <w:sz w:val="14"/>
              </w:rPr>
              <w:t>46 </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20" w:type="dxa"/>
            <w:gridSpan w:val="3"/>
            <w:tcBorders/>
            <w:shd w:fill="CCEEFF" w:val="clear"/>
            <w:tcMar>
              <w:top w:w="0" w:type="dxa"/>
              <w:left w:w="0" w:type="dxa"/>
              <w:bottom w:w="0" w:type="dxa"/>
              <w:right w:w="0" w:type="dxa"/>
            </w:tcMar>
            <w:vAlign w:val="center"/>
          </w:tcPr>
          <w:p>
            <w:pPr>
              <w:pStyle w:val="TableContents"/>
              <w:bidi w:val="0"/>
              <w:spacing w:lineRule="auto" w:line="252" w:before="0" w:after="0"/>
              <w:jc w:val="left"/>
              <w:rPr>
                <w:rFonts w:ascii="Times New Roman;serif" w:hAnsi="Times New Roman;serif"/>
                <w:b w:val="false"/>
                <w:color w:val="000000"/>
                <w:sz w:val="14"/>
              </w:rPr>
            </w:pPr>
            <w:r>
              <w:rPr>
                <w:rFonts w:ascii="Times New Roman;serif" w:hAnsi="Times New Roman;serif"/>
                <w:b w:val="false"/>
                <w:color w:val="000000"/>
                <w:sz w:val="14"/>
              </w:rPr>
              <w:t>CASH, CASH EQUIVALENTS, AND RESTRICTED CASH ON THE BALANCE SHEET</w:t>
            </w:r>
          </w:p>
        </w:tc>
        <w:tc>
          <w:tcPr>
            <w:tcW w:w="20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52"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68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52" w:before="0" w:after="283"/>
              <w:jc w:val="right"/>
              <w:rPr>
                <w:rFonts w:ascii="Times New Roman;serif" w:hAnsi="Times New Roman;serif"/>
                <w:b w:val="false"/>
                <w:color w:val="000000"/>
                <w:sz w:val="14"/>
              </w:rPr>
            </w:pPr>
            <w:r>
              <w:rPr>
                <w:rFonts w:ascii="Times New Roman;serif" w:hAnsi="Times New Roman;serif"/>
                <w:b w:val="false"/>
                <w:color w:val="000000"/>
                <w:sz w:val="14"/>
              </w:rPr>
              <w:t>12,103 </w:t>
            </w:r>
          </w:p>
        </w:tc>
        <w:tc>
          <w:tcPr>
            <w:tcW w:w="12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52"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68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52" w:before="0" w:after="283"/>
              <w:jc w:val="right"/>
              <w:rPr>
                <w:rFonts w:ascii="Times New Roman;serif" w:hAnsi="Times New Roman;serif"/>
                <w:b w:val="false"/>
                <w:color w:val="000000"/>
                <w:sz w:val="14"/>
              </w:rPr>
            </w:pPr>
            <w:r>
              <w:rPr>
                <w:rFonts w:ascii="Times New Roman;serif" w:hAnsi="Times New Roman;serif"/>
                <w:b w:val="false"/>
                <w:color w:val="000000"/>
                <w:sz w:val="14"/>
              </w:rPr>
              <w:t>29,463 </w:t>
            </w:r>
          </w:p>
        </w:tc>
        <w:tc>
          <w:tcPr>
            <w:tcW w:w="17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2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0"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20" w:type="dxa"/>
            <w:gridSpan w:val="3"/>
            <w:tcBorders/>
            <w:shd w:fill="CCEEFF" w:val="clear"/>
            <w:tcMar>
              <w:top w:w="0" w:type="dxa"/>
              <w:left w:w="0" w:type="dxa"/>
              <w:bottom w:w="0" w:type="dxa"/>
              <w:right w:w="0" w:type="dxa"/>
            </w:tcMar>
            <w:vAlign w:val="center"/>
          </w:tcPr>
          <w:p>
            <w:pPr>
              <w:pStyle w:val="TableContents"/>
              <w:bidi w:val="0"/>
              <w:spacing w:lineRule="auto" w:line="252" w:before="0" w:after="283"/>
              <w:jc w:val="left"/>
              <w:rPr>
                <w:rFonts w:ascii="Times New Roman;serif" w:hAnsi="Times New Roman;serif"/>
                <w:b w:val="false"/>
                <w:color w:val="000000"/>
                <w:sz w:val="14"/>
              </w:rPr>
            </w:pPr>
            <w:r>
              <w:rPr>
                <w:rFonts w:ascii="Times New Roman;serif" w:hAnsi="Times New Roman;serif"/>
                <w:b w:val="false"/>
                <w:color w:val="000000"/>
                <w:sz w:val="14"/>
              </w:rPr>
              <w:t>SUPPLEMENTAL SCHEDULE OF NON-CASH INVESTING AND FINANCING ACTIVITIES:</w:t>
            </w:r>
          </w:p>
        </w:tc>
        <w:tc>
          <w:tcPr>
            <w:tcW w:w="101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20" w:type="dxa"/>
            <w:gridSpan w:val="3"/>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serif" w:hAnsi="Times New Roman;serif"/>
                <w:b w:val="false"/>
                <w:color w:val="000000"/>
                <w:sz w:val="14"/>
              </w:rPr>
            </w:pPr>
            <w:r>
              <w:rPr>
                <w:rFonts w:ascii="Times New Roman;serif" w:hAnsi="Times New Roman;serif"/>
                <w:b w:val="false"/>
                <w:color w:val="000000"/>
                <w:sz w:val="14"/>
              </w:rPr>
              <w:t>Purchases of property and equipment included in accounts payable and accrued expenses</w:t>
            </w:r>
          </w:p>
        </w:tc>
        <w:tc>
          <w:tcPr>
            <w:tcW w:w="205"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682"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color w:val="000000"/>
              </w:rPr>
            </w:pPr>
            <w:r>
              <w:rPr>
                <w:color w:val="000000"/>
              </w:rPr>
              <w:t>—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682"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serif" w:hAnsi="Times New Roman;serif"/>
                <w:b w:val="false"/>
                <w:color w:val="000000"/>
                <w:sz w:val="14"/>
              </w:rPr>
            </w:pPr>
            <w:r>
              <w:rPr>
                <w:rFonts w:ascii="Times New Roman;serif" w:hAnsi="Times New Roman;serif"/>
                <w:b w:val="false"/>
                <w:color w:val="000000"/>
                <w:sz w:val="14"/>
              </w:rPr>
              <w:t>115 </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60" w:after="283"/>
        <w:jc w:val="center"/>
        <w:rPr>
          <w:rFonts w:ascii="Times New Roman;serif" w:hAnsi="Times New Roman;serif"/>
          <w:b w:val="false"/>
          <w:color w:val="000000"/>
          <w:sz w:val="20"/>
        </w:rPr>
      </w:pPr>
      <w:r>
        <w:rPr>
          <w:rFonts w:ascii="Times New Roman;serif" w:hAnsi="Times New Roman;serif"/>
          <w:b w:val="false"/>
          <w:color w:val="000000"/>
          <w:sz w:val="20"/>
        </w:rPr>
        <w:t>The accompanying notes are an integral part of these unaudited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146685"/>
                <wp:effectExtent l="0" t="0" r="0" b="0"/>
                <wp:wrapNone/>
                <wp:docPr id="6" name="Frame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4</w:t>
                      </w:r>
                    </w:p>
                  </w:txbxContent>
                </v:textbox>
                <w10:wrap type="none"/>
              </v:rect>
            </w:pict>
          </mc:Fallback>
        </mc:AlternateContent>
      </w:r>
    </w:p>
    <w:p>
      <w:pPr>
        <w:pStyle w:val="TextBody"/>
        <w:bidi w:val="0"/>
        <w:spacing w:lineRule="auto" w:line="288" w:before="0" w:after="0"/>
        <w:jc w:val="left"/>
        <w:rPr/>
      </w:pPr>
      <w:hyperlink w:anchor="i7f5619487a1149c59a3dd36fee75a584_7">
        <w:r>
          <w:rPr>
            <w:rStyle w:val="InternetLink"/>
            <w:rFonts w:ascii="Times New Roman;serif" w:hAnsi="Times New Roman;serif"/>
            <w:b w:val="false"/>
            <w:color w:val="0000FF"/>
            <w:sz w:val="20"/>
            <w:u w:val="single"/>
          </w:rPr>
          <w:t>Table of Contents</w:t>
        </w:r>
      </w:hyperlink>
    </w:p>
    <w:p>
      <w:pPr>
        <w:pStyle w:val="TextBody"/>
        <w:bidi w:val="0"/>
        <w:spacing w:lineRule="auto" w:line="288" w:before="200" w:after="283"/>
        <w:jc w:val="center"/>
        <w:rPr>
          <w:rFonts w:ascii="Times New Roman;serif" w:hAnsi="Times New Roman;serif"/>
          <w:b/>
          <w:color w:val="000000"/>
          <w:sz w:val="20"/>
        </w:rPr>
      </w:pPr>
      <w:r>
        <w:rPr>
          <w:rFonts w:ascii="Times New Roman;serif" w:hAnsi="Times New Roman;serif"/>
          <w:b/>
          <w:color w:val="000000"/>
          <w:sz w:val="20"/>
        </w:rPr>
        <w:t>CARIBOU BIOSCIENCES, INC. AND ITS SUBSIDIARIES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Condensed Consolidated Financial Statements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(Unaudited)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83"/>
        <w:jc w:val="both"/>
        <w:rPr>
          <w:rFonts w:ascii="Times New Roman;serif" w:hAnsi="Times New Roman;serif"/>
          <w:b/>
          <w:color w:val="000000"/>
          <w:sz w:val="20"/>
        </w:rPr>
      </w:pPr>
      <w:r>
        <w:rPr>
          <w:rFonts w:ascii="Times New Roman;serif" w:hAnsi="Times New Roman;serif"/>
          <w:b/>
          <w:color w:val="000000"/>
          <w:sz w:val="20"/>
        </w:rPr>
        <w:t>1. Description of the Business, Organization, and Liquidity</w:t>
      </w:r>
    </w:p>
    <w:p>
      <w:pPr>
        <w:pStyle w:val="TextBody"/>
        <w:bidi w:val="0"/>
        <w:spacing w:lineRule="auto" w:line="288" w:before="200" w:after="283"/>
        <w:jc w:val="both"/>
        <w:rPr>
          <w:rFonts w:ascii="Times New Roman;serif" w:hAnsi="Times New Roman;serif"/>
          <w:b/>
          <w:i/>
          <w:color w:val="000000"/>
          <w:sz w:val="20"/>
        </w:rPr>
      </w:pPr>
      <w:r>
        <w:rPr>
          <w:rFonts w:ascii="Times New Roman;serif" w:hAnsi="Times New Roman;serif"/>
          <w:b/>
          <w:i/>
          <w:color w:val="000000"/>
          <w:sz w:val="20"/>
        </w:rPr>
        <w:t>Business and Organization</w:t>
      </w:r>
    </w:p>
    <w:p>
      <w:pPr>
        <w:pStyle w:val="TextBody"/>
        <w:bidi w:val="0"/>
        <w:spacing w:lineRule="auto" w:line="288" w:before="200" w:after="283"/>
        <w:ind w:left="0" w:right="0" w:firstLine="720"/>
        <w:jc w:val="left"/>
        <w:rPr/>
      </w:pPr>
      <w:r>
        <w:rPr>
          <w:rFonts w:ascii="Times New Roman;serif" w:hAnsi="Times New Roman;serif"/>
          <w:b w:val="false"/>
          <w:color w:val="000000"/>
          <w:sz w:val="20"/>
        </w:rPr>
        <w:t xml:space="preserve">Caribou Biosciences, Inc. (“Company” or “we”) is a clinical-stage </w:t>
      </w:r>
      <w:r>
        <w:rPr>
          <w:rFonts w:ascii="Times New Roman;serif" w:hAnsi="Times New Roman;serif"/>
          <w:b/>
          <w:color w:val="000000"/>
          <w:sz w:val="20"/>
        </w:rPr>
        <w:t>C</w:t>
      </w:r>
      <w:r>
        <w:rPr>
          <w:rFonts w:ascii="Times New Roman;serif" w:hAnsi="Times New Roman;serif"/>
          <w:b w:val="false"/>
          <w:color w:val="000000"/>
          <w:sz w:val="20"/>
        </w:rPr>
        <w:t xml:space="preserve">lustered </w:t>
      </w:r>
      <w:r>
        <w:rPr>
          <w:rFonts w:ascii="Times New Roman;serif" w:hAnsi="Times New Roman;serif"/>
          <w:b/>
          <w:color w:val="000000"/>
          <w:sz w:val="20"/>
        </w:rPr>
        <w:t>R</w:t>
      </w:r>
      <w:r>
        <w:rPr>
          <w:rFonts w:ascii="Times New Roman;serif" w:hAnsi="Times New Roman;serif"/>
          <w:b w:val="false"/>
          <w:color w:val="000000"/>
          <w:sz w:val="20"/>
        </w:rPr>
        <w:t xml:space="preserve">egularly </w:t>
      </w:r>
      <w:r>
        <w:rPr>
          <w:rFonts w:ascii="Times New Roman;serif" w:hAnsi="Times New Roman;serif"/>
          <w:b/>
          <w:color w:val="000000"/>
          <w:sz w:val="20"/>
        </w:rPr>
        <w:t>I</w:t>
      </w:r>
      <w:r>
        <w:rPr>
          <w:rFonts w:ascii="Times New Roman;serif" w:hAnsi="Times New Roman;serif"/>
          <w:b w:val="false"/>
          <w:color w:val="000000"/>
          <w:sz w:val="20"/>
        </w:rPr>
        <w:t xml:space="preserve">nterspaced </w:t>
      </w:r>
      <w:r>
        <w:rPr>
          <w:rFonts w:ascii="Times New Roman;serif" w:hAnsi="Times New Roman;serif"/>
          <w:b/>
          <w:color w:val="000000"/>
          <w:sz w:val="20"/>
        </w:rPr>
        <w:t>S</w:t>
      </w:r>
      <w:r>
        <w:rPr>
          <w:rFonts w:ascii="Times New Roman;serif" w:hAnsi="Times New Roman;serif"/>
          <w:b w:val="false"/>
          <w:color w:val="000000"/>
          <w:sz w:val="20"/>
        </w:rPr>
        <w:t xml:space="preserve">hort </w:t>
      </w:r>
      <w:r>
        <w:rPr>
          <w:rFonts w:ascii="Times New Roman;serif" w:hAnsi="Times New Roman;serif"/>
          <w:b/>
          <w:color w:val="000000"/>
          <w:sz w:val="20"/>
        </w:rPr>
        <w:t>P</w:t>
      </w:r>
      <w:r>
        <w:rPr>
          <w:rFonts w:ascii="Times New Roman;serif" w:hAnsi="Times New Roman;serif"/>
          <w:b w:val="false"/>
          <w:color w:val="000000"/>
          <w:sz w:val="20"/>
        </w:rPr>
        <w:t xml:space="preserve">alindromic </w:t>
      </w:r>
      <w:r>
        <w:rPr>
          <w:rFonts w:ascii="Times New Roman;serif" w:hAnsi="Times New Roman;serif"/>
          <w:b/>
          <w:color w:val="000000"/>
          <w:sz w:val="20"/>
        </w:rPr>
        <w:t>R</w:t>
      </w:r>
      <w:r>
        <w:rPr>
          <w:rFonts w:ascii="Times New Roman;serif" w:hAnsi="Times New Roman;serif"/>
          <w:b w:val="false"/>
          <w:color w:val="000000"/>
          <w:sz w:val="20"/>
        </w:rPr>
        <w:t>epeats (“CRISPR”) genome-editing biopharmaceutical company dedicated to developing transformative therapies for patients with devastating diseases. Our genome-editing platform is based on our novel chRDNA (</w:t>
      </w:r>
      <w:r>
        <w:rPr>
          <w:rFonts w:ascii="Times New Roman;serif" w:hAnsi="Times New Roman;serif"/>
          <w:b/>
          <w:color w:val="000000"/>
          <w:sz w:val="20"/>
          <w:u w:val="single"/>
        </w:rPr>
        <w:t>C</w:t>
      </w:r>
      <w:r>
        <w:rPr>
          <w:rFonts w:ascii="Times New Roman;serif" w:hAnsi="Times New Roman;serif"/>
          <w:b w:val="false"/>
          <w:color w:val="000000"/>
          <w:sz w:val="20"/>
        </w:rPr>
        <w:t xml:space="preserve">RISPR </w:t>
      </w:r>
      <w:r>
        <w:rPr>
          <w:rFonts w:ascii="Times New Roman;serif" w:hAnsi="Times New Roman;serif"/>
          <w:b/>
          <w:color w:val="000000"/>
          <w:sz w:val="20"/>
          <w:u w:val="single"/>
        </w:rPr>
        <w:t>h</w:t>
      </w:r>
      <w:r>
        <w:rPr>
          <w:rFonts w:ascii="Times New Roman;serif" w:hAnsi="Times New Roman;serif"/>
          <w:b w:val="false"/>
          <w:color w:val="000000"/>
          <w:sz w:val="20"/>
        </w:rPr>
        <w:t xml:space="preserve">ybrid </w:t>
      </w:r>
      <w:r>
        <w:rPr>
          <w:rFonts w:ascii="Times New Roman;serif" w:hAnsi="Times New Roman;serif"/>
          <w:b/>
          <w:color w:val="000000"/>
          <w:sz w:val="20"/>
          <w:u w:val="single"/>
        </w:rPr>
        <w:t>R</w:t>
      </w:r>
      <w:r>
        <w:rPr>
          <w:rFonts w:ascii="Times New Roman;serif" w:hAnsi="Times New Roman;serif"/>
          <w:b w:val="false"/>
          <w:color w:val="000000"/>
          <w:sz w:val="20"/>
        </w:rPr>
        <w:t>NA-</w:t>
      </w:r>
      <w:r>
        <w:rPr>
          <w:rFonts w:ascii="Times New Roman;serif" w:hAnsi="Times New Roman;serif"/>
          <w:b/>
          <w:color w:val="000000"/>
          <w:sz w:val="20"/>
          <w:u w:val="single"/>
        </w:rPr>
        <w:t>DNA</w:t>
      </w:r>
      <w:r>
        <w:rPr>
          <w:rFonts w:ascii="Times New Roman;serif" w:hAnsi="Times New Roman;serif"/>
          <w:b w:val="false"/>
          <w:color w:val="000000"/>
          <w:sz w:val="20"/>
        </w:rPr>
        <w:t>, pronounced “chardonnay”) technology, which enables more precise genome editing of allogeneic cell therapies. Our allogeneic, or off-the-shelf, chimeric antigen receptor (“CAR”)-T (“CAR-T”) cell therapy candidates are manufactured in advance with cells from healthy donors, with the goal of enabling broad patient access, rapid patient treatment, and increased manufacturing scale. We use our chRDNA technologies to armor our allogeneic CAR-T cell therapies through multiple genome-editing strategies, such as checkpoint disruption and immune cloaking, to enhance activity against hematologic malignancies.</w:t>
      </w:r>
    </w:p>
    <w:p>
      <w:pPr>
        <w:pStyle w:val="TextBody"/>
        <w:bidi w:val="0"/>
        <w:spacing w:lineRule="auto" w:line="288" w:before="20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We incorporated in October 2011 as a Delaware corporation and are headquartered in Berkeley, California. We have four wholly owned subsidiaries that hold interests in our equity investments and do not have operating activities.</w:t>
      </w:r>
    </w:p>
    <w:p>
      <w:pPr>
        <w:pStyle w:val="TextBody"/>
        <w:bidi w:val="0"/>
        <w:spacing w:lineRule="auto" w:line="288" w:before="200" w:after="283"/>
        <w:jc w:val="both"/>
        <w:rPr>
          <w:rFonts w:ascii="Times New Roman;serif" w:hAnsi="Times New Roman;serif"/>
          <w:b/>
          <w:i/>
          <w:color w:val="000000"/>
          <w:sz w:val="20"/>
        </w:rPr>
      </w:pPr>
      <w:r>
        <w:rPr>
          <w:rFonts w:ascii="Times New Roman;serif" w:hAnsi="Times New Roman;serif"/>
          <w:b/>
          <w:i/>
          <w:color w:val="000000"/>
          <w:sz w:val="20"/>
        </w:rPr>
        <w:t>Liquidity</w:t>
      </w:r>
    </w:p>
    <w:p>
      <w:pPr>
        <w:pStyle w:val="TextBody"/>
        <w:bidi w:val="0"/>
        <w:spacing w:lineRule="auto" w:line="288" w:before="20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We have incurred operating losses and negative cash flows from operations since our inception and we had an accumulated deficit of $621.6 million as of March 31, 2026. During the three months ended March 31, 2026, we incurred a net loss of $25.1 million and used $27.0 million of cash in operating activities. We expect to continue to incur substantial losses, and our ability to achieve and sustain profitability will depend on the successful development, regulatory approval, and commercialization of our CAR-T cell therapy product candidates and on our ability to generate sufficient revenue to support our cost structure. We may never achieve profitability and, unless and until we do, we will need to continue to raise additional capital. Our management expects that existing cash, cash equivalents, and marketable securities of $118.6 million as of March 31, 2026, will be sufficient to fund our current operating plan for at least the next 12 months from the date this Quarterly Report on Form 10-Q (“Form 10-Q”) is filed.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83"/>
        <w:jc w:val="both"/>
        <w:rPr>
          <w:rFonts w:ascii="Times New Roman;serif" w:hAnsi="Times New Roman;serif"/>
          <w:b/>
          <w:color w:val="000000"/>
          <w:sz w:val="20"/>
        </w:rPr>
      </w:pPr>
      <w:r>
        <w:rPr>
          <w:rFonts w:ascii="Times New Roman;serif" w:hAnsi="Times New Roman;serif"/>
          <w:b/>
          <w:color w:val="000000"/>
          <w:sz w:val="20"/>
        </w:rPr>
        <w:t>2. Summary of Significant Accounting Policies</w:t>
      </w:r>
    </w:p>
    <w:p>
      <w:pPr>
        <w:pStyle w:val="TextBody"/>
        <w:bidi w:val="0"/>
        <w:spacing w:lineRule="auto" w:line="288" w:before="20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There have been no changes to the significant accounting policies disclosed in Note 2 to the annual consolidated financial statements for the year ended December 31, 2025, included in our Annual Report on Form 10-K (“Form 10-K”).</w:t>
      </w:r>
    </w:p>
    <w:p>
      <w:pPr>
        <w:pStyle w:val="TextBody"/>
        <w:bidi w:val="0"/>
        <w:spacing w:lineRule="auto" w:line="288" w:before="200" w:after="283"/>
        <w:jc w:val="both"/>
        <w:rPr>
          <w:rFonts w:ascii="Times New Roman;serif" w:hAnsi="Times New Roman;serif"/>
          <w:b/>
          <w:i/>
          <w:color w:val="000000"/>
          <w:sz w:val="20"/>
        </w:rPr>
      </w:pPr>
      <w:r>
        <w:rPr>
          <w:rFonts w:ascii="Times New Roman;serif" w:hAnsi="Times New Roman;serif"/>
          <w:b/>
          <w:i/>
          <w:color w:val="000000"/>
          <w:sz w:val="20"/>
        </w:rPr>
        <w:t>Basis of Presentation and Principles of Consolidation</w:t>
      </w:r>
    </w:p>
    <w:p>
      <w:pPr>
        <w:pStyle w:val="TextBody"/>
        <w:bidi w:val="0"/>
        <w:spacing w:lineRule="auto" w:line="288" w:before="20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Our unaudited condensed consolidated financial statements have been prepared in accordance with accounting principles generally accepted in the United States (“U.S. GAAP”) and include our accounts and the accounts of our wholly owned subsidiaries. All intercompany accounts and transactions are eliminated in consolidation. Certain prior period amounts in our consolidated financial statements have been reclassified to conform to current period presentation.</w:t>
      </w:r>
    </w:p>
    <w:p>
      <w:pPr>
        <w:pStyle w:val="TextBody"/>
        <w:bidi w:val="0"/>
        <w:spacing w:lineRule="auto" w:line="288" w:before="200" w:after="283"/>
        <w:jc w:val="both"/>
        <w:rPr>
          <w:rFonts w:ascii="Times New Roman;serif" w:hAnsi="Times New Roman;serif"/>
          <w:b/>
          <w:i/>
          <w:color w:val="000000"/>
          <w:sz w:val="20"/>
        </w:rPr>
      </w:pPr>
      <w:r>
        <w:rPr>
          <w:rFonts w:ascii="Times New Roman;serif" w:hAnsi="Times New Roman;serif"/>
          <w:b/>
          <w:i/>
          <w:color w:val="000000"/>
          <w:sz w:val="20"/>
        </w:rPr>
        <w:t>Use of Estimates</w:t>
      </w:r>
    </w:p>
    <w:p>
      <w:pPr>
        <w:pStyle w:val="TextBody"/>
        <w:bidi w:val="0"/>
        <w:spacing w:lineRule="auto" w:line="288" w:before="20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preparation of unaudited condensed consolidated financial statements in conformity with U.S. GAAP requires our management to make estimates and assumptions that affect the reported amounts of assets and liabilities; the disclosure of contingent assets and liabilities at the date of our unaudited condensed consolidated financial statements; and the reported amounts of revenue, income, and expenses for the applicable reporting period. Significant estimates and assumptions made in the accompanying unaudited condensed consolidated financial statements include, but are not limited to, estimates related to revenue recognition, stock-based compensation expense, and accrued research and development expenses. Our management evaluates its estimates and assumptions on an ongoing basis using historical experience and various other assumptions that they believe to be reasonable under the circumstances, the results of which form the basis for making judgments about the carrying values of assets and liabilities that are not readily apparent from other sources. Actual results may differ materially from those estimates.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146685"/>
                <wp:effectExtent l="0" t="0" r="0" b="0"/>
                <wp:wrapNone/>
                <wp:docPr id="7" name="Frame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5</w:t>
                      </w:r>
                    </w:p>
                  </w:txbxContent>
                </v:textbox>
                <w10:wrap type="none"/>
              </v:rect>
            </w:pict>
          </mc:Fallback>
        </mc:AlternateContent>
      </w:r>
    </w:p>
    <w:p>
      <w:pPr>
        <w:pStyle w:val="TextBody"/>
        <w:bidi w:val="0"/>
        <w:spacing w:lineRule="auto" w:line="288" w:before="0" w:after="0"/>
        <w:jc w:val="left"/>
        <w:rPr/>
      </w:pPr>
      <w:hyperlink w:anchor="i7f5619487a1149c59a3dd36fee75a584_7">
        <w:r>
          <w:rPr>
            <w:rStyle w:val="InternetLink"/>
            <w:rFonts w:ascii="Times New Roman;serif" w:hAnsi="Times New Roman;serif"/>
            <w:b w:val="false"/>
            <w:color w:val="0000FF"/>
            <w:sz w:val="20"/>
            <w:u w:val="single"/>
          </w:rPr>
          <w:t>Table of Contents</w:t>
        </w:r>
      </w:hyperlink>
    </w:p>
    <w:p>
      <w:pPr>
        <w:pStyle w:val="TextBody"/>
        <w:bidi w:val="0"/>
        <w:spacing w:lineRule="auto" w:line="288" w:before="200" w:after="283"/>
        <w:jc w:val="left"/>
        <w:rPr>
          <w:rFonts w:ascii="Times New Roman;serif" w:hAnsi="Times New Roman;serif"/>
          <w:b/>
          <w:i/>
          <w:color w:val="000000"/>
          <w:sz w:val="20"/>
        </w:rPr>
      </w:pPr>
      <w:r>
        <w:rPr>
          <w:rFonts w:ascii="Times New Roman;serif" w:hAnsi="Times New Roman;serif"/>
          <w:b/>
          <w:i/>
          <w:color w:val="000000"/>
          <w:sz w:val="20"/>
        </w:rPr>
        <w:t>Concentrations of Credit Risk and Other Uncertainties</w:t>
      </w:r>
    </w:p>
    <w:p>
      <w:pPr>
        <w:pStyle w:val="TextBody"/>
        <w:bidi w:val="0"/>
        <w:spacing w:lineRule="auto" w:line="288" w:before="20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Financial instruments that potentially subject us to concentration of credit risk consist of cash and cash equivalents, accounts receivable, contract assets, other receivables, and investments in marketable securities and equity securities. Substantially all our cash and cash equivalents are deposited in accounts at four financial institutions, and our account balances exceed federally insured limits. We mitigate the risks by investing only in high-grade instruments, limiting our exposure to any single issuer, and monitoring the ongoing creditworthiness of these financial institutions and issuers.</w:t>
      </w:r>
    </w:p>
    <w:p>
      <w:pPr>
        <w:pStyle w:val="TextBody"/>
        <w:bidi w:val="0"/>
        <w:spacing w:lineRule="auto" w:line="288" w:before="20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Third parties that represent 10% or more of our revenue and accounts receivable and contract assets were as follows: </w:t>
      </w:r>
    </w:p>
    <w:tbl>
      <w:tblPr>
        <w:tblW w:w="7839" w:type="dxa"/>
        <w:jc w:val="left"/>
        <w:tblInd w:w="0" w:type="dxa"/>
        <w:tblLayout w:type="fixed"/>
        <w:tblCellMar>
          <w:top w:w="28" w:type="dxa"/>
          <w:left w:w="28" w:type="dxa"/>
          <w:bottom w:w="28" w:type="dxa"/>
          <w:right w:w="28" w:type="dxa"/>
        </w:tblCellMar>
      </w:tblPr>
      <w:tblGrid>
        <w:gridCol w:w="261"/>
        <w:gridCol w:w="229"/>
        <w:gridCol w:w="230"/>
        <w:gridCol w:w="281"/>
        <w:gridCol w:w="281"/>
        <w:gridCol w:w="698"/>
        <w:gridCol w:w="134"/>
        <w:gridCol w:w="134"/>
        <w:gridCol w:w="134"/>
        <w:gridCol w:w="281"/>
        <w:gridCol w:w="281"/>
        <w:gridCol w:w="698"/>
        <w:gridCol w:w="109"/>
        <w:gridCol w:w="109"/>
        <w:gridCol w:w="109"/>
        <w:gridCol w:w="901"/>
        <w:gridCol w:w="224"/>
        <w:gridCol w:w="224"/>
        <w:gridCol w:w="224"/>
        <w:gridCol w:w="255"/>
        <w:gridCol w:w="256"/>
        <w:gridCol w:w="632"/>
        <w:gridCol w:w="109"/>
        <w:gridCol w:w="109"/>
        <w:gridCol w:w="109"/>
        <w:gridCol w:w="255"/>
        <w:gridCol w:w="256"/>
        <w:gridCol w:w="316"/>
      </w:tblGrid>
      <w:tr>
        <w:trPr/>
        <w:tc>
          <w:tcPr>
            <w:tcW w:w="261"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281" w:type="dxa"/>
            <w:tcBorders/>
            <w:vAlign w:val="center"/>
          </w:tcPr>
          <w:p>
            <w:pPr>
              <w:pStyle w:val="TableContents"/>
              <w:bidi w:val="0"/>
              <w:spacing w:before="0" w:after="283"/>
              <w:jc w:val="left"/>
              <w:rPr>
                <w:sz w:val="4"/>
                <w:szCs w:val="4"/>
              </w:rPr>
            </w:pPr>
            <w:r>
              <w:rPr>
                <w:sz w:val="4"/>
                <w:szCs w:val="4"/>
              </w:rPr>
            </w:r>
          </w:p>
        </w:tc>
        <w:tc>
          <w:tcPr>
            <w:tcW w:w="281" w:type="dxa"/>
            <w:tcBorders/>
            <w:vAlign w:val="center"/>
          </w:tcPr>
          <w:p>
            <w:pPr>
              <w:pStyle w:val="TableContents"/>
              <w:bidi w:val="0"/>
              <w:spacing w:before="0" w:after="283"/>
              <w:jc w:val="left"/>
              <w:rPr>
                <w:sz w:val="4"/>
                <w:szCs w:val="4"/>
              </w:rPr>
            </w:pPr>
            <w:r>
              <w:rPr>
                <w:sz w:val="4"/>
                <w:szCs w:val="4"/>
              </w:rPr>
            </w:r>
          </w:p>
        </w:tc>
        <w:tc>
          <w:tcPr>
            <w:tcW w:w="698"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281" w:type="dxa"/>
            <w:tcBorders/>
            <w:vAlign w:val="center"/>
          </w:tcPr>
          <w:p>
            <w:pPr>
              <w:pStyle w:val="TableContents"/>
              <w:bidi w:val="0"/>
              <w:spacing w:before="0" w:after="283"/>
              <w:jc w:val="left"/>
              <w:rPr>
                <w:sz w:val="4"/>
                <w:szCs w:val="4"/>
              </w:rPr>
            </w:pPr>
            <w:r>
              <w:rPr>
                <w:sz w:val="4"/>
                <w:szCs w:val="4"/>
              </w:rPr>
            </w:r>
          </w:p>
        </w:tc>
        <w:tc>
          <w:tcPr>
            <w:tcW w:w="281" w:type="dxa"/>
            <w:tcBorders/>
            <w:vAlign w:val="center"/>
          </w:tcPr>
          <w:p>
            <w:pPr>
              <w:pStyle w:val="TableContents"/>
              <w:bidi w:val="0"/>
              <w:spacing w:before="0" w:after="283"/>
              <w:jc w:val="left"/>
              <w:rPr>
                <w:sz w:val="4"/>
                <w:szCs w:val="4"/>
              </w:rPr>
            </w:pPr>
            <w:r>
              <w:rPr>
                <w:sz w:val="4"/>
                <w:szCs w:val="4"/>
              </w:rPr>
            </w:r>
          </w:p>
        </w:tc>
        <w:tc>
          <w:tcPr>
            <w:tcW w:w="69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01"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63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720" w:type="dxa"/>
            <w:gridSpan w:val="3"/>
            <w:tcBorders/>
            <w:tcMar>
              <w:top w:w="0" w:type="dxa"/>
              <w:left w:w="0" w:type="dxa"/>
              <w:bottom w:w="0" w:type="dxa"/>
              <w:right w:w="0" w:type="dxa"/>
            </w:tcMar>
            <w:vAlign w:val="center"/>
          </w:tcPr>
          <w:p>
            <w:pPr>
              <w:pStyle w:val="TableContents"/>
              <w:bidi w:val="0"/>
              <w:spacing w:lineRule="auto" w:line="252" w:before="0" w:after="283"/>
              <w:jc w:val="center"/>
              <w:rPr>
                <w:color w:val="000000"/>
              </w:rPr>
            </w:pPr>
            <w:r>
              <w:rPr>
                <w:color w:val="000000"/>
              </w:rPr>
              <w:t> </w:t>
            </w:r>
          </w:p>
        </w:tc>
        <w:tc>
          <w:tcPr>
            <w:tcW w:w="2922" w:type="dxa"/>
            <w:gridSpan w:val="9"/>
            <w:tcBorders>
              <w:bottom w:val="single" w:sz="8" w:space="0" w:color="000000"/>
            </w:tcBorders>
            <w:tcMar>
              <w:top w:w="0" w:type="dxa"/>
              <w:left w:w="0" w:type="dxa"/>
              <w:bottom w:w="30" w:type="dxa"/>
              <w:right w:w="0" w:type="dxa"/>
            </w:tcMar>
            <w:vAlign w:val="center"/>
          </w:tcPr>
          <w:p>
            <w:pPr>
              <w:pStyle w:val="TableContents"/>
              <w:bidi w:val="0"/>
              <w:spacing w:lineRule="auto" w:line="252" w:before="0" w:after="0"/>
              <w:jc w:val="center"/>
              <w:rPr/>
            </w:pPr>
            <w:r>
              <w:rPr>
                <w:rFonts w:ascii="Times New Roman;serif" w:hAnsi="Times New Roman;serif"/>
                <w:b/>
                <w:color w:val="000000"/>
                <w:sz w:val="16"/>
              </w:rPr>
              <w:t>Revenue</w:t>
            </w:r>
            <w:r>
              <w:rPr>
                <w:color w:val="000000"/>
              </w:rPr>
              <w:t xml:space="preserve"> </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16" w:type="dxa"/>
            <w:gridSpan w:val="7"/>
            <w:tcBorders/>
            <w:tcMar>
              <w:top w:w="0" w:type="dxa"/>
              <w:left w:w="0" w:type="dxa"/>
              <w:bottom w:w="0" w:type="dxa"/>
              <w:right w:w="0" w:type="dxa"/>
            </w:tcMar>
            <w:vAlign w:val="center"/>
          </w:tcPr>
          <w:p>
            <w:pPr>
              <w:pStyle w:val="TableContents"/>
              <w:bidi w:val="0"/>
              <w:spacing w:lineRule="auto" w:line="252" w:before="0" w:after="0"/>
              <w:jc w:val="center"/>
              <w:rPr>
                <w:rFonts w:ascii="Times New Roman;serif" w:hAnsi="Times New Roman;serif"/>
                <w:b/>
                <w:color w:val="000000"/>
                <w:sz w:val="16"/>
              </w:rPr>
            </w:pPr>
            <w:r>
              <w:rPr>
                <w:rFonts w:ascii="Times New Roman;serif" w:hAnsi="Times New Roman;serif"/>
                <w:b/>
                <w:color w:val="000000"/>
                <w:sz w:val="16"/>
              </w:rPr>
              <w:t>Accounts Receivable and</w:t>
            </w:r>
          </w:p>
          <w:p>
            <w:pPr>
              <w:pStyle w:val="TableContents"/>
              <w:bidi w:val="0"/>
              <w:spacing w:lineRule="auto" w:line="252" w:before="0" w:after="0"/>
              <w:jc w:val="center"/>
              <w:rPr>
                <w:rFonts w:ascii="Times New Roman;serif" w:hAnsi="Times New Roman;serif"/>
                <w:b/>
                <w:color w:val="000000"/>
                <w:sz w:val="16"/>
              </w:rPr>
            </w:pPr>
            <w:r>
              <w:rPr>
                <w:rFonts w:ascii="Times New Roman;serif" w:hAnsi="Times New Roman;serif"/>
                <w:b/>
                <w:color w:val="000000"/>
                <w:sz w:val="16"/>
              </w:rPr>
              <w:t xml:space="preserve">Contract Assets </w:t>
            </w:r>
          </w:p>
        </w:tc>
        <w:tc>
          <w:tcPr>
            <w:tcW w:w="1154" w:type="dxa"/>
            <w:gridSpan w:val="6"/>
            <w:tcBorders/>
          </w:tcPr>
          <w:p>
            <w:pPr>
              <w:pStyle w:val="TableContents"/>
              <w:bidi w:val="0"/>
              <w:spacing w:before="0" w:after="283"/>
              <w:jc w:val="left"/>
              <w:rPr>
                <w:sz w:val="4"/>
                <w:szCs w:val="4"/>
              </w:rPr>
            </w:pPr>
            <w:r>
              <w:rPr>
                <w:sz w:val="4"/>
                <w:szCs w:val="4"/>
              </w:rPr>
            </w:r>
          </w:p>
        </w:tc>
      </w:tr>
      <w:tr>
        <w:trPr/>
        <w:tc>
          <w:tcPr>
            <w:tcW w:w="720" w:type="dxa"/>
            <w:gridSpan w:val="3"/>
            <w:tcBorders/>
            <w:tcMar>
              <w:top w:w="0" w:type="dxa"/>
              <w:left w:w="0" w:type="dxa"/>
              <w:bottom w:w="0" w:type="dxa"/>
              <w:right w:w="0" w:type="dxa"/>
            </w:tcMar>
            <w:vAlign w:val="center"/>
          </w:tcPr>
          <w:p>
            <w:pPr>
              <w:pStyle w:val="TableContents"/>
              <w:bidi w:val="0"/>
              <w:spacing w:lineRule="auto" w:line="252" w:before="0" w:after="283"/>
              <w:jc w:val="center"/>
              <w:rPr>
                <w:color w:val="000000"/>
              </w:rPr>
            </w:pPr>
            <w:r>
              <w:rPr>
                <w:color w:val="000000"/>
              </w:rPr>
              <w:t> </w:t>
            </w:r>
          </w:p>
        </w:tc>
        <w:tc>
          <w:tcPr>
            <w:tcW w:w="2922"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52" w:before="0" w:after="0"/>
              <w:jc w:val="center"/>
              <w:rPr>
                <w:rFonts w:ascii="Times New Roman;serif" w:hAnsi="Times New Roman;serif"/>
                <w:b/>
                <w:color w:val="000000"/>
                <w:sz w:val="16"/>
              </w:rPr>
            </w:pPr>
            <w:r>
              <w:rPr>
                <w:rFonts w:ascii="Times New Roman;serif" w:hAnsi="Times New Roman;serif"/>
                <w:b/>
                <w:color w:val="000000"/>
                <w:sz w:val="16"/>
              </w:rPr>
              <w:t>Three Months Ended</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vMerge w:val="restart"/>
            <w:tcBorders>
              <w:top w:val="single" w:sz="8" w:space="0" w:color="000000"/>
            </w:tcBorders>
            <w:tcMar>
              <w:top w:w="30" w:type="dxa"/>
              <w:left w:w="0" w:type="dxa"/>
              <w:bottom w:w="0" w:type="dxa"/>
              <w:right w:w="0" w:type="dxa"/>
            </w:tcMar>
            <w:vAlign w:val="center"/>
          </w:tcPr>
          <w:p>
            <w:pPr>
              <w:pStyle w:val="TableContents"/>
              <w:bidi w:val="0"/>
              <w:spacing w:lineRule="auto" w:line="252" w:before="0" w:after="283"/>
              <w:jc w:val="center"/>
              <w:rPr>
                <w:rFonts w:ascii="Times New Roman;serif" w:hAnsi="Times New Roman;serif"/>
                <w:b/>
                <w:color w:val="000000"/>
                <w:sz w:val="16"/>
              </w:rPr>
            </w:pPr>
            <w:r>
              <w:rPr>
                <w:rFonts w:ascii="Times New Roman;serif" w:hAnsi="Times New Roman;serif"/>
                <w:b/>
                <w:color w:val="000000"/>
                <w:sz w:val="16"/>
              </w:rPr>
              <w:t>As of</w:t>
              <w:br/>
              <w:t xml:space="preserve">March 31, </w:t>
              <w:br/>
              <w:t>2026</w:t>
            </w:r>
          </w:p>
        </w:tc>
        <w:tc>
          <w:tcPr>
            <w:tcW w:w="67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3" w:type="dxa"/>
            <w:gridSpan w:val="3"/>
            <w:vMerge w:val="restart"/>
            <w:tcBorders>
              <w:top w:val="single" w:sz="8" w:space="0" w:color="000000"/>
            </w:tcBorders>
            <w:tcMar>
              <w:top w:w="30" w:type="dxa"/>
              <w:left w:w="0" w:type="dxa"/>
              <w:bottom w:w="0" w:type="dxa"/>
              <w:right w:w="0" w:type="dxa"/>
            </w:tcMar>
            <w:vAlign w:val="center"/>
          </w:tcPr>
          <w:p>
            <w:pPr>
              <w:pStyle w:val="TableContents"/>
              <w:bidi w:val="0"/>
              <w:spacing w:lineRule="auto" w:line="252" w:before="0" w:after="283"/>
              <w:jc w:val="center"/>
              <w:rPr>
                <w:rFonts w:ascii="Times New Roman;serif" w:hAnsi="Times New Roman;serif"/>
                <w:b/>
                <w:color w:val="000000"/>
                <w:sz w:val="16"/>
              </w:rPr>
            </w:pPr>
            <w:r>
              <w:rPr>
                <w:rFonts w:ascii="Times New Roman;serif" w:hAnsi="Times New Roman;serif"/>
                <w:b/>
                <w:color w:val="000000"/>
                <w:sz w:val="16"/>
              </w:rPr>
              <w:t>As of</w:t>
              <w:br/>
              <w:t xml:space="preserve">December 31, </w:t>
              <w:br/>
              <w:t>2025</w:t>
            </w:r>
          </w:p>
        </w:tc>
        <w:tc>
          <w:tcPr>
            <w:tcW w:w="1154" w:type="dxa"/>
            <w:gridSpan w:val="6"/>
            <w:tcBorders/>
          </w:tcPr>
          <w:p>
            <w:pPr>
              <w:pStyle w:val="TableContents"/>
              <w:bidi w:val="0"/>
              <w:spacing w:before="0" w:after="283"/>
              <w:jc w:val="left"/>
              <w:rPr>
                <w:sz w:val="4"/>
                <w:szCs w:val="4"/>
              </w:rPr>
            </w:pPr>
            <w:r>
              <w:rPr>
                <w:sz w:val="4"/>
                <w:szCs w:val="4"/>
              </w:rPr>
            </w:r>
          </w:p>
        </w:tc>
      </w:tr>
      <w:tr>
        <w:trPr/>
        <w:tc>
          <w:tcPr>
            <w:tcW w:w="720" w:type="dxa"/>
            <w:gridSpan w:val="3"/>
            <w:tcBorders/>
            <w:tcMar>
              <w:top w:w="0" w:type="dxa"/>
              <w:left w:w="0" w:type="dxa"/>
              <w:bottom w:w="0" w:type="dxa"/>
              <w:right w:w="0" w:type="dxa"/>
            </w:tcMar>
            <w:vAlign w:val="center"/>
          </w:tcPr>
          <w:p>
            <w:pPr>
              <w:pStyle w:val="TableContents"/>
              <w:bidi w:val="0"/>
              <w:spacing w:lineRule="auto" w:line="252" w:before="0" w:after="283"/>
              <w:jc w:val="center"/>
              <w:rPr>
                <w:color w:val="000000"/>
              </w:rPr>
            </w:pPr>
            <w:r>
              <w:rPr>
                <w:color w:val="000000"/>
              </w:rPr>
              <w:t> </w:t>
            </w:r>
          </w:p>
        </w:tc>
        <w:tc>
          <w:tcPr>
            <w:tcW w:w="126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March 31, 2026</w:t>
            </w:r>
          </w:p>
        </w:tc>
        <w:tc>
          <w:tcPr>
            <w:tcW w:w="40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March 31, 2025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01" w:type="dxa"/>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c>
          <w:tcPr>
            <w:tcW w:w="672" w:type="dxa"/>
            <w:gridSpan w:val="3"/>
            <w:tcBorders/>
            <w:vAlign w:val="center"/>
          </w:tcPr>
          <w:p>
            <w:pPr>
              <w:pStyle w:val="TableContents"/>
              <w:bidi w:val="0"/>
              <w:spacing w:before="0" w:after="283"/>
              <w:jc w:val="left"/>
              <w:rPr>
                <w:sz w:val="4"/>
                <w:szCs w:val="4"/>
              </w:rPr>
            </w:pPr>
            <w:r>
              <w:rPr>
                <w:sz w:val="4"/>
                <w:szCs w:val="4"/>
              </w:rPr>
            </w:r>
          </w:p>
        </w:tc>
        <w:tc>
          <w:tcPr>
            <w:tcW w:w="1143"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0" w:type="dxa"/>
            <w:gridSpan w:val="3"/>
            <w:tcBorders/>
            <w:shd w:fill="CCEEFF" w:val="clear"/>
            <w:tcMar>
              <w:top w:w="0" w:type="dxa"/>
              <w:left w:w="0" w:type="dxa"/>
              <w:bottom w:w="0" w:type="dxa"/>
              <w:right w:w="0" w:type="dxa"/>
            </w:tcMar>
            <w:vAlign w:val="center"/>
          </w:tcPr>
          <w:p>
            <w:pPr>
              <w:pStyle w:val="TableContents"/>
              <w:bidi w:val="0"/>
              <w:spacing w:lineRule="auto" w:line="252" w:before="0" w:after="0"/>
              <w:jc w:val="left"/>
              <w:rPr>
                <w:rFonts w:ascii="Times New Roman;serif" w:hAnsi="Times New Roman;serif"/>
                <w:b w:val="false"/>
                <w:color w:val="000000"/>
                <w:sz w:val="20"/>
              </w:rPr>
            </w:pPr>
            <w:r>
              <w:rPr>
                <w:rFonts w:ascii="Times New Roman;serif" w:hAnsi="Times New Roman;serif"/>
                <w:b w:val="false"/>
                <w:color w:val="000000"/>
                <w:sz w:val="20"/>
              </w:rPr>
              <w:t>Party A</w:t>
            </w:r>
          </w:p>
        </w:tc>
        <w:tc>
          <w:tcPr>
            <w:tcW w:w="56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52" w:before="0" w:after="283"/>
              <w:jc w:val="right"/>
              <w:rPr>
                <w:rFonts w:ascii="Times New Roman;serif" w:hAnsi="Times New Roman;serif"/>
                <w:b w:val="false"/>
                <w:color w:val="000000"/>
                <w:sz w:val="20"/>
              </w:rPr>
            </w:pPr>
            <w:r>
              <w:rPr>
                <w:rFonts w:ascii="Times New Roman;serif" w:hAnsi="Times New Roman;serif"/>
                <w:b w:val="false"/>
                <w:color w:val="000000"/>
                <w:sz w:val="20"/>
              </w:rPr>
              <w:t>25.9 </w:t>
            </w:r>
          </w:p>
        </w:tc>
        <w:tc>
          <w:tcPr>
            <w:tcW w:w="69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52"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40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52" w:before="0" w:after="283"/>
              <w:jc w:val="right"/>
              <w:rPr>
                <w:rFonts w:ascii="Times New Roman;serif" w:hAnsi="Times New Roman;serif"/>
                <w:b w:val="false"/>
                <w:color w:val="000000"/>
                <w:sz w:val="20"/>
              </w:rPr>
            </w:pPr>
            <w:r>
              <w:rPr>
                <w:rFonts w:ascii="Times New Roman;serif" w:hAnsi="Times New Roman;serif"/>
                <w:b w:val="false"/>
                <w:color w:val="000000"/>
                <w:sz w:val="20"/>
              </w:rPr>
              <w:t>26.4 </w:t>
            </w:r>
          </w:p>
        </w:tc>
        <w:tc>
          <w:tcPr>
            <w:tcW w:w="69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52"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01" w:type="dxa"/>
            <w:tcBorders/>
            <w:vAlign w:val="center"/>
          </w:tcPr>
          <w:p>
            <w:pPr>
              <w:pStyle w:val="TableContents"/>
              <w:bidi w:val="0"/>
              <w:spacing w:before="0" w:after="283"/>
              <w:jc w:val="left"/>
              <w:rPr>
                <w:sz w:val="4"/>
                <w:szCs w:val="4"/>
              </w:rPr>
            </w:pPr>
            <w:r>
              <w:rPr>
                <w:sz w:val="4"/>
                <w:szCs w:val="4"/>
              </w:rPr>
            </w:r>
          </w:p>
        </w:tc>
        <w:tc>
          <w:tcPr>
            <w:tcW w:w="6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3"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52"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52"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720" w:type="dxa"/>
            <w:gridSpan w:val="3"/>
            <w:tcBorders/>
            <w:shd w:fill="FFFFFF" w:val="clear"/>
            <w:tcMar>
              <w:top w:w="0" w:type="dxa"/>
              <w:left w:w="0" w:type="dxa"/>
              <w:bottom w:w="0" w:type="dxa"/>
              <w:right w:w="0" w:type="dxa"/>
            </w:tcMar>
            <w:vAlign w:val="center"/>
          </w:tcPr>
          <w:p>
            <w:pPr>
              <w:pStyle w:val="TableContents"/>
              <w:bidi w:val="0"/>
              <w:spacing w:lineRule="auto" w:line="252" w:before="0" w:after="0"/>
              <w:jc w:val="left"/>
              <w:rPr>
                <w:rFonts w:ascii="Times New Roman;serif" w:hAnsi="Times New Roman;serif"/>
                <w:b w:val="false"/>
                <w:color w:val="000000"/>
                <w:sz w:val="20"/>
              </w:rPr>
            </w:pPr>
            <w:r>
              <w:rPr>
                <w:rFonts w:ascii="Times New Roman;serif" w:hAnsi="Times New Roman;serif"/>
                <w:b w:val="false"/>
                <w:color w:val="000000"/>
                <w:sz w:val="20"/>
              </w:rPr>
              <w:t>Party B</w:t>
            </w:r>
          </w:p>
        </w:tc>
        <w:tc>
          <w:tcPr>
            <w:tcW w:w="562" w:type="dxa"/>
            <w:gridSpan w:val="2"/>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serif" w:hAnsi="Times New Roman;serif"/>
                <w:b w:val="false"/>
                <w:color w:val="000000"/>
                <w:sz w:val="20"/>
              </w:rPr>
            </w:pPr>
            <w:r>
              <w:rPr>
                <w:rFonts w:ascii="Times New Roman;serif" w:hAnsi="Times New Roman;serif"/>
                <w:b w:val="false"/>
                <w:color w:val="000000"/>
                <w:sz w:val="20"/>
              </w:rPr>
              <w:t>25.7 </w:t>
            </w:r>
          </w:p>
        </w:tc>
        <w:tc>
          <w:tcPr>
            <w:tcW w:w="698"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40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2" w:type="dxa"/>
            <w:gridSpan w:val="2"/>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serif" w:hAnsi="Times New Roman;serif"/>
                <w:b w:val="false"/>
                <w:color w:val="000000"/>
                <w:sz w:val="20"/>
              </w:rPr>
            </w:pPr>
            <w:r>
              <w:rPr>
                <w:rFonts w:ascii="Times New Roman;serif" w:hAnsi="Times New Roman;serif"/>
                <w:b w:val="false"/>
                <w:color w:val="000000"/>
                <w:sz w:val="20"/>
              </w:rPr>
              <w:t>26.2 </w:t>
            </w:r>
          </w:p>
        </w:tc>
        <w:tc>
          <w:tcPr>
            <w:tcW w:w="698"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01" w:type="dxa"/>
            <w:tcBorders/>
            <w:vAlign w:val="center"/>
          </w:tcPr>
          <w:p>
            <w:pPr>
              <w:pStyle w:val="TableContents"/>
              <w:bidi w:val="0"/>
              <w:spacing w:before="0" w:after="283"/>
              <w:jc w:val="left"/>
              <w:rPr>
                <w:sz w:val="4"/>
                <w:szCs w:val="4"/>
              </w:rPr>
            </w:pPr>
            <w:r>
              <w:rPr>
                <w:sz w:val="4"/>
                <w:szCs w:val="4"/>
              </w:rPr>
            </w:r>
          </w:p>
        </w:tc>
        <w:tc>
          <w:tcPr>
            <w:tcW w:w="6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3" w:type="dxa"/>
            <w:gridSpan w:val="3"/>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3"/>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720" w:type="dxa"/>
            <w:gridSpan w:val="3"/>
            <w:tcBorders/>
            <w:shd w:fill="CCEEFF" w:val="clear"/>
            <w:tcMar>
              <w:top w:w="0" w:type="dxa"/>
              <w:left w:w="0" w:type="dxa"/>
              <w:bottom w:w="0" w:type="dxa"/>
              <w:right w:w="0" w:type="dxa"/>
            </w:tcMar>
            <w:vAlign w:val="center"/>
          </w:tcPr>
          <w:p>
            <w:pPr>
              <w:pStyle w:val="TableContents"/>
              <w:bidi w:val="0"/>
              <w:spacing w:lineRule="auto" w:line="252" w:before="0" w:after="0"/>
              <w:jc w:val="left"/>
              <w:rPr>
                <w:rFonts w:ascii="Times New Roman;serif" w:hAnsi="Times New Roman;serif"/>
                <w:b w:val="false"/>
                <w:color w:val="000000"/>
                <w:sz w:val="20"/>
              </w:rPr>
            </w:pPr>
            <w:r>
              <w:rPr>
                <w:rFonts w:ascii="Times New Roman;serif" w:hAnsi="Times New Roman;serif"/>
                <w:b w:val="false"/>
                <w:color w:val="000000"/>
                <w:sz w:val="20"/>
              </w:rPr>
              <w:t>Party C</w:t>
            </w:r>
          </w:p>
        </w:tc>
        <w:tc>
          <w:tcPr>
            <w:tcW w:w="562" w:type="dxa"/>
            <w:gridSpan w:val="2"/>
            <w:tcBorders/>
            <w:shd w:fill="CCEEFF" w:val="clear"/>
            <w:tcMar>
              <w:top w:w="0" w:type="dxa"/>
              <w:left w:w="0" w:type="dxa"/>
              <w:bottom w:w="0" w:type="dxa"/>
              <w:right w:w="0" w:type="dxa"/>
            </w:tcMar>
            <w:vAlign w:val="center"/>
          </w:tcPr>
          <w:p>
            <w:pPr>
              <w:pStyle w:val="TableContents"/>
              <w:bidi w:val="0"/>
              <w:spacing w:lineRule="auto" w:line="252" w:before="0" w:after="283"/>
              <w:jc w:val="right"/>
              <w:rPr>
                <w:rFonts w:ascii="Times New Roman;serif" w:hAnsi="Times New Roman;serif"/>
                <w:b w:val="false"/>
                <w:color w:val="000000"/>
                <w:sz w:val="20"/>
              </w:rPr>
            </w:pPr>
            <w:r>
              <w:rPr>
                <w:rFonts w:ascii="Times New Roman;serif" w:hAnsi="Times New Roman;serif"/>
                <w:b w:val="false"/>
                <w:color w:val="000000"/>
                <w:sz w:val="20"/>
              </w:rPr>
              <w:t>20.6 </w:t>
            </w:r>
          </w:p>
        </w:tc>
        <w:tc>
          <w:tcPr>
            <w:tcW w:w="698" w:type="dxa"/>
            <w:tcBorders/>
            <w:shd w:fill="CCEEFF" w:val="clear"/>
            <w:tcMar>
              <w:top w:w="0" w:type="dxa"/>
              <w:left w:w="0" w:type="dxa"/>
              <w:bottom w:w="0" w:type="dxa"/>
              <w:right w:w="0" w:type="dxa"/>
            </w:tcMar>
            <w:vAlign w:val="center"/>
          </w:tcPr>
          <w:p>
            <w:pPr>
              <w:pStyle w:val="TableContents"/>
              <w:bidi w:val="0"/>
              <w:spacing w:lineRule="auto" w:line="252"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40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2" w:type="dxa"/>
            <w:gridSpan w:val="2"/>
            <w:tcBorders/>
            <w:shd w:fill="CCEEFF" w:val="clear"/>
            <w:tcMar>
              <w:top w:w="0" w:type="dxa"/>
              <w:left w:w="0" w:type="dxa"/>
              <w:bottom w:w="0" w:type="dxa"/>
              <w:right w:w="0" w:type="dxa"/>
            </w:tcMar>
            <w:vAlign w:val="center"/>
          </w:tcPr>
          <w:p>
            <w:pPr>
              <w:pStyle w:val="TableContents"/>
              <w:bidi w:val="0"/>
              <w:spacing w:lineRule="auto" w:line="252" w:before="0" w:after="283"/>
              <w:jc w:val="right"/>
              <w:rPr>
                <w:rFonts w:ascii="Times New Roman;serif" w:hAnsi="Times New Roman;serif"/>
                <w:b w:val="false"/>
                <w:color w:val="000000"/>
                <w:sz w:val="20"/>
              </w:rPr>
            </w:pPr>
            <w:r>
              <w:rPr>
                <w:rFonts w:ascii="Times New Roman;serif" w:hAnsi="Times New Roman;serif"/>
                <w:b w:val="false"/>
                <w:color w:val="000000"/>
                <w:sz w:val="20"/>
              </w:rPr>
              <w:t>16.8 </w:t>
            </w:r>
          </w:p>
        </w:tc>
        <w:tc>
          <w:tcPr>
            <w:tcW w:w="698" w:type="dxa"/>
            <w:tcBorders/>
            <w:shd w:fill="CCEEFF" w:val="clear"/>
            <w:tcMar>
              <w:top w:w="0" w:type="dxa"/>
              <w:left w:w="0" w:type="dxa"/>
              <w:bottom w:w="0" w:type="dxa"/>
              <w:right w:w="0" w:type="dxa"/>
            </w:tcMar>
            <w:vAlign w:val="center"/>
          </w:tcPr>
          <w:p>
            <w:pPr>
              <w:pStyle w:val="TableContents"/>
              <w:bidi w:val="0"/>
              <w:spacing w:lineRule="auto" w:line="252"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01" w:type="dxa"/>
            <w:tcBorders/>
            <w:vAlign w:val="center"/>
          </w:tcPr>
          <w:p>
            <w:pPr>
              <w:pStyle w:val="TableContents"/>
              <w:bidi w:val="0"/>
              <w:spacing w:before="0" w:after="283"/>
              <w:jc w:val="left"/>
              <w:rPr>
                <w:sz w:val="4"/>
                <w:szCs w:val="4"/>
              </w:rPr>
            </w:pPr>
            <w:r>
              <w:rPr>
                <w:sz w:val="4"/>
                <w:szCs w:val="4"/>
              </w:rPr>
            </w:r>
          </w:p>
        </w:tc>
        <w:tc>
          <w:tcPr>
            <w:tcW w:w="6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52" w:before="0" w:after="283"/>
              <w:jc w:val="right"/>
              <w:rPr>
                <w:rFonts w:ascii="Times New Roman;serif" w:hAnsi="Times New Roman;serif"/>
                <w:b w:val="false"/>
                <w:color w:val="000000"/>
                <w:sz w:val="20"/>
              </w:rPr>
            </w:pPr>
            <w:r>
              <w:rPr>
                <w:rFonts w:ascii="Times New Roman;serif" w:hAnsi="Times New Roman;serif"/>
                <w:b w:val="false"/>
                <w:color w:val="000000"/>
                <w:sz w:val="20"/>
              </w:rPr>
              <w:t>60.4 </w:t>
            </w:r>
          </w:p>
        </w:tc>
        <w:tc>
          <w:tcPr>
            <w:tcW w:w="632" w:type="dxa"/>
            <w:tcBorders/>
            <w:shd w:fill="CCEEFF" w:val="clear"/>
            <w:tcMar>
              <w:top w:w="0" w:type="dxa"/>
              <w:left w:w="0" w:type="dxa"/>
              <w:bottom w:w="0" w:type="dxa"/>
              <w:right w:w="0" w:type="dxa"/>
            </w:tcMar>
            <w:vAlign w:val="center"/>
          </w:tcPr>
          <w:p>
            <w:pPr>
              <w:pStyle w:val="TableContents"/>
              <w:bidi w:val="0"/>
              <w:spacing w:lineRule="auto" w:line="252"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52" w:before="0" w:after="283"/>
              <w:jc w:val="right"/>
              <w:rPr>
                <w:rFonts w:ascii="Times New Roman;serif" w:hAnsi="Times New Roman;serif"/>
                <w:b w:val="false"/>
                <w:color w:val="000000"/>
                <w:sz w:val="20"/>
              </w:rPr>
            </w:pPr>
            <w:r>
              <w:rPr>
                <w:rFonts w:ascii="Times New Roman;serif" w:hAnsi="Times New Roman;serif"/>
                <w:b w:val="false"/>
                <w:color w:val="000000"/>
                <w:sz w:val="20"/>
              </w:rPr>
              <w:t>54.5 </w:t>
            </w:r>
          </w:p>
        </w:tc>
        <w:tc>
          <w:tcPr>
            <w:tcW w:w="316" w:type="dxa"/>
            <w:tcBorders/>
            <w:shd w:fill="CCEEFF" w:val="clear"/>
            <w:tcMar>
              <w:top w:w="0" w:type="dxa"/>
              <w:left w:w="0" w:type="dxa"/>
              <w:bottom w:w="0" w:type="dxa"/>
              <w:right w:w="0" w:type="dxa"/>
            </w:tcMar>
            <w:vAlign w:val="center"/>
          </w:tcPr>
          <w:p>
            <w:pPr>
              <w:pStyle w:val="TableContents"/>
              <w:bidi w:val="0"/>
              <w:spacing w:lineRule="auto" w:line="252"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720" w:type="dxa"/>
            <w:gridSpan w:val="3"/>
            <w:tcBorders/>
            <w:shd w:fill="FFFFFF" w:val="clear"/>
            <w:tcMar>
              <w:top w:w="0" w:type="dxa"/>
              <w:left w:w="0" w:type="dxa"/>
              <w:bottom w:w="0" w:type="dxa"/>
              <w:right w:w="0" w:type="dxa"/>
            </w:tcMar>
            <w:vAlign w:val="center"/>
          </w:tcPr>
          <w:p>
            <w:pPr>
              <w:pStyle w:val="TableContents"/>
              <w:bidi w:val="0"/>
              <w:spacing w:lineRule="auto" w:line="252" w:before="0" w:after="0"/>
              <w:jc w:val="left"/>
              <w:rPr>
                <w:rFonts w:ascii="Times New Roman;serif" w:hAnsi="Times New Roman;serif"/>
                <w:b w:val="false"/>
                <w:color w:val="000000"/>
                <w:sz w:val="20"/>
              </w:rPr>
            </w:pPr>
            <w:r>
              <w:rPr>
                <w:rFonts w:ascii="Times New Roman;serif" w:hAnsi="Times New Roman;serif"/>
                <w:b w:val="false"/>
                <w:color w:val="000000"/>
                <w:sz w:val="20"/>
              </w:rPr>
              <w:t>Party D</w:t>
            </w:r>
          </w:p>
        </w:tc>
        <w:tc>
          <w:tcPr>
            <w:tcW w:w="1260" w:type="dxa"/>
            <w:gridSpan w:val="3"/>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40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0" w:type="dxa"/>
            <w:gridSpan w:val="3"/>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01" w:type="dxa"/>
            <w:tcBorders/>
            <w:vAlign w:val="center"/>
          </w:tcPr>
          <w:p>
            <w:pPr>
              <w:pStyle w:val="TableContents"/>
              <w:bidi w:val="0"/>
              <w:spacing w:before="0" w:after="283"/>
              <w:jc w:val="left"/>
              <w:rPr>
                <w:sz w:val="4"/>
                <w:szCs w:val="4"/>
              </w:rPr>
            </w:pPr>
            <w:r>
              <w:rPr>
                <w:sz w:val="4"/>
                <w:szCs w:val="4"/>
              </w:rPr>
            </w:r>
          </w:p>
        </w:tc>
        <w:tc>
          <w:tcPr>
            <w:tcW w:w="6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3" w:type="dxa"/>
            <w:gridSpan w:val="3"/>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serif" w:hAnsi="Times New Roman;serif"/>
                <w:b w:val="false"/>
                <w:color w:val="000000"/>
                <w:sz w:val="20"/>
              </w:rPr>
            </w:pPr>
            <w:r>
              <w:rPr>
                <w:rFonts w:ascii="Times New Roman;serif" w:hAnsi="Times New Roman;serif"/>
                <w:b w:val="false"/>
                <w:color w:val="000000"/>
                <w:sz w:val="20"/>
              </w:rPr>
              <w:t>11.8 </w:t>
            </w:r>
          </w:p>
        </w:tc>
        <w:tc>
          <w:tcPr>
            <w:tcW w:w="316"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720" w:type="dxa"/>
            <w:gridSpan w:val="3"/>
            <w:tcBorders/>
            <w:shd w:fill="CCEEFF" w:val="clear"/>
            <w:tcMar>
              <w:top w:w="0" w:type="dxa"/>
              <w:left w:w="0" w:type="dxa"/>
              <w:bottom w:w="0" w:type="dxa"/>
              <w:right w:w="0" w:type="dxa"/>
            </w:tcMar>
            <w:vAlign w:val="center"/>
          </w:tcPr>
          <w:p>
            <w:pPr>
              <w:pStyle w:val="TableContents"/>
              <w:bidi w:val="0"/>
              <w:spacing w:lineRule="auto" w:line="252" w:before="0" w:after="0"/>
              <w:jc w:val="left"/>
              <w:rPr>
                <w:rFonts w:ascii="Times New Roman;serif" w:hAnsi="Times New Roman;serif"/>
                <w:b w:val="false"/>
                <w:color w:val="000000"/>
                <w:sz w:val="20"/>
              </w:rPr>
            </w:pPr>
            <w:r>
              <w:rPr>
                <w:rFonts w:ascii="Times New Roman;serif" w:hAnsi="Times New Roman;serif"/>
                <w:b w:val="false"/>
                <w:color w:val="000000"/>
                <w:sz w:val="20"/>
              </w:rPr>
              <w:t>Party E</w:t>
            </w:r>
          </w:p>
        </w:tc>
        <w:tc>
          <w:tcPr>
            <w:tcW w:w="1260" w:type="dxa"/>
            <w:gridSpan w:val="3"/>
            <w:tcBorders/>
            <w:shd w:fill="CCEEFF" w:val="clear"/>
            <w:tcMar>
              <w:top w:w="0" w:type="dxa"/>
              <w:left w:w="0" w:type="dxa"/>
              <w:bottom w:w="0" w:type="dxa"/>
              <w:right w:w="0" w:type="dxa"/>
            </w:tcMar>
            <w:vAlign w:val="center"/>
          </w:tcPr>
          <w:p>
            <w:pPr>
              <w:pStyle w:val="TableContents"/>
              <w:bidi w:val="0"/>
              <w:spacing w:lineRule="auto" w:line="252"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40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0" w:type="dxa"/>
            <w:gridSpan w:val="3"/>
            <w:tcBorders/>
            <w:shd w:fill="CCEEFF" w:val="clear"/>
            <w:tcMar>
              <w:top w:w="0" w:type="dxa"/>
              <w:left w:w="0" w:type="dxa"/>
              <w:bottom w:w="0" w:type="dxa"/>
              <w:right w:w="0" w:type="dxa"/>
            </w:tcMar>
            <w:vAlign w:val="center"/>
          </w:tcPr>
          <w:p>
            <w:pPr>
              <w:pStyle w:val="TableContents"/>
              <w:bidi w:val="0"/>
              <w:spacing w:lineRule="auto" w:line="252"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01" w:type="dxa"/>
            <w:tcBorders/>
            <w:vAlign w:val="center"/>
          </w:tcPr>
          <w:p>
            <w:pPr>
              <w:pStyle w:val="TableContents"/>
              <w:bidi w:val="0"/>
              <w:spacing w:before="0" w:after="283"/>
              <w:jc w:val="left"/>
              <w:rPr>
                <w:sz w:val="4"/>
                <w:szCs w:val="4"/>
              </w:rPr>
            </w:pPr>
            <w:r>
              <w:rPr>
                <w:sz w:val="4"/>
                <w:szCs w:val="4"/>
              </w:rPr>
            </w:r>
          </w:p>
        </w:tc>
        <w:tc>
          <w:tcPr>
            <w:tcW w:w="6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52" w:before="0" w:after="283"/>
              <w:jc w:val="right"/>
              <w:rPr>
                <w:rFonts w:ascii="Times New Roman;serif" w:hAnsi="Times New Roman;serif"/>
                <w:b w:val="false"/>
                <w:color w:val="000000"/>
                <w:sz w:val="20"/>
              </w:rPr>
            </w:pPr>
            <w:r>
              <w:rPr>
                <w:rFonts w:ascii="Times New Roman;serif" w:hAnsi="Times New Roman;serif"/>
                <w:b w:val="false"/>
                <w:color w:val="000000"/>
                <w:sz w:val="20"/>
              </w:rPr>
              <w:t>11.1 </w:t>
            </w:r>
          </w:p>
        </w:tc>
        <w:tc>
          <w:tcPr>
            <w:tcW w:w="632" w:type="dxa"/>
            <w:tcBorders/>
            <w:shd w:fill="CCEEFF" w:val="clear"/>
            <w:tcMar>
              <w:top w:w="0" w:type="dxa"/>
              <w:left w:w="0" w:type="dxa"/>
              <w:bottom w:w="0" w:type="dxa"/>
              <w:right w:w="0" w:type="dxa"/>
            </w:tcMar>
            <w:vAlign w:val="center"/>
          </w:tcPr>
          <w:p>
            <w:pPr>
              <w:pStyle w:val="TableContents"/>
              <w:bidi w:val="0"/>
              <w:spacing w:lineRule="auto" w:line="252"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3"/>
            <w:tcBorders/>
            <w:shd w:fill="CCEEFF" w:val="clear"/>
            <w:tcMar>
              <w:top w:w="0" w:type="dxa"/>
              <w:left w:w="0" w:type="dxa"/>
              <w:bottom w:w="0" w:type="dxa"/>
              <w:right w:w="0" w:type="dxa"/>
            </w:tcMar>
            <w:vAlign w:val="center"/>
          </w:tcPr>
          <w:p>
            <w:pPr>
              <w:pStyle w:val="TableContents"/>
              <w:bidi w:val="0"/>
              <w:spacing w:lineRule="auto" w:line="252"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720" w:type="dxa"/>
            <w:gridSpan w:val="3"/>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562"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52" w:before="0" w:after="283"/>
              <w:jc w:val="right"/>
              <w:rPr>
                <w:rFonts w:ascii="Times New Roman;serif" w:hAnsi="Times New Roman;serif"/>
                <w:b w:val="false"/>
                <w:color w:val="000000"/>
                <w:sz w:val="20"/>
              </w:rPr>
            </w:pPr>
            <w:r>
              <w:rPr>
                <w:rFonts w:ascii="Times New Roman;serif" w:hAnsi="Times New Roman;serif"/>
                <w:b w:val="false"/>
                <w:color w:val="000000"/>
                <w:sz w:val="20"/>
              </w:rPr>
              <w:t>72.2 </w:t>
            </w:r>
          </w:p>
        </w:tc>
        <w:tc>
          <w:tcPr>
            <w:tcW w:w="69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52"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40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2"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52" w:before="0" w:after="283"/>
              <w:jc w:val="right"/>
              <w:rPr>
                <w:rFonts w:ascii="Times New Roman;serif" w:hAnsi="Times New Roman;serif"/>
                <w:b w:val="false"/>
                <w:color w:val="000000"/>
                <w:sz w:val="20"/>
              </w:rPr>
            </w:pPr>
            <w:r>
              <w:rPr>
                <w:rFonts w:ascii="Times New Roman;serif" w:hAnsi="Times New Roman;serif"/>
                <w:b w:val="false"/>
                <w:color w:val="000000"/>
                <w:sz w:val="20"/>
              </w:rPr>
              <w:t>69.4 </w:t>
            </w:r>
          </w:p>
        </w:tc>
        <w:tc>
          <w:tcPr>
            <w:tcW w:w="69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52"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01" w:type="dxa"/>
            <w:tcBorders/>
            <w:vAlign w:val="center"/>
          </w:tcPr>
          <w:p>
            <w:pPr>
              <w:pStyle w:val="TableContents"/>
              <w:bidi w:val="0"/>
              <w:spacing w:before="0" w:after="283"/>
              <w:jc w:val="left"/>
              <w:rPr>
                <w:sz w:val="4"/>
                <w:szCs w:val="4"/>
              </w:rPr>
            </w:pPr>
            <w:r>
              <w:rPr>
                <w:sz w:val="4"/>
                <w:szCs w:val="4"/>
              </w:rPr>
            </w:r>
          </w:p>
        </w:tc>
        <w:tc>
          <w:tcPr>
            <w:tcW w:w="6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52" w:before="0" w:after="283"/>
              <w:jc w:val="right"/>
              <w:rPr>
                <w:rFonts w:ascii="Times New Roman;serif" w:hAnsi="Times New Roman;serif"/>
                <w:b w:val="false"/>
                <w:color w:val="000000"/>
                <w:sz w:val="20"/>
              </w:rPr>
            </w:pPr>
            <w:r>
              <w:rPr>
                <w:rFonts w:ascii="Times New Roman;serif" w:hAnsi="Times New Roman;serif"/>
                <w:b w:val="false"/>
                <w:color w:val="000000"/>
                <w:sz w:val="20"/>
              </w:rPr>
              <w:t>71.5 </w:t>
            </w:r>
          </w:p>
        </w:tc>
        <w:tc>
          <w:tcPr>
            <w:tcW w:w="63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52"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52" w:before="0" w:after="283"/>
              <w:jc w:val="right"/>
              <w:rPr>
                <w:rFonts w:ascii="Times New Roman;serif" w:hAnsi="Times New Roman;serif"/>
                <w:b w:val="false"/>
                <w:color w:val="000000"/>
                <w:sz w:val="20"/>
              </w:rPr>
            </w:pPr>
            <w:r>
              <w:rPr>
                <w:rFonts w:ascii="Times New Roman;serif" w:hAnsi="Times New Roman;serif"/>
                <w:b w:val="false"/>
                <w:color w:val="000000"/>
                <w:sz w:val="20"/>
              </w:rPr>
              <w:t>66.3 </w:t>
            </w:r>
          </w:p>
        </w:tc>
        <w:tc>
          <w:tcPr>
            <w:tcW w:w="3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52"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*Less than 10%</w:t>
      </w:r>
    </w:p>
    <w:p>
      <w:pPr>
        <w:pStyle w:val="TextBody"/>
        <w:bidi w:val="0"/>
        <w:spacing w:lineRule="auto" w:line="288" w:before="20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We monitor economic conditions to identify facts or circumstances that may indicate if any of our accounts receivable are not collectible or if contract assets should be impaired. No allowance for credit losses or contract asset impairment was recorded as of March 31, 2026, or December 31, 2025.</w:t>
      </w:r>
    </w:p>
    <w:p>
      <w:pPr>
        <w:pStyle w:val="TextBody"/>
        <w:bidi w:val="0"/>
        <w:spacing w:lineRule="auto" w:line="288" w:before="200" w:after="283"/>
        <w:jc w:val="left"/>
        <w:rPr>
          <w:rFonts w:ascii="Times New Roman;serif" w:hAnsi="Times New Roman;serif"/>
          <w:b/>
          <w:i/>
          <w:color w:val="000000"/>
          <w:sz w:val="20"/>
        </w:rPr>
      </w:pPr>
      <w:r>
        <w:rPr>
          <w:rFonts w:ascii="Times New Roman;serif" w:hAnsi="Times New Roman;serif"/>
          <w:b/>
          <w:i/>
          <w:color w:val="000000"/>
          <w:sz w:val="20"/>
        </w:rPr>
        <w:t>Recent Accounting Pronouncements Not Yet Adopted</w:t>
      </w:r>
    </w:p>
    <w:p>
      <w:pPr>
        <w:pStyle w:val="TextBody"/>
        <w:bidi w:val="0"/>
        <w:spacing w:lineRule="auto" w:line="288" w:before="20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In November 2024, the Financial Accounting Standards Board (“FASB”) issued Accounting Standards Update (“ASU”) No. 2024-03, Income Statement - Reporting Comprehensive Income - Expense Disaggregation (Subtopic 220-40): Disaggregation of Income Statement Expenses. The amendments in ASU 2024-03 require a public business entity to disclose specific information about certain costs and expenses in the notes to its financial statements for interim and annual reporting periods. The objective of the disclosure requirements is to provide disaggregated information about a public business entity's expenses to help investors (i) better understand the entity's performance, (ii) better assess the entity's prospects for future cash flows, and (iii) compare an entity's performance over time and with that of other entities. ASU 2024-03 is effective for fiscal years beginning after December 15, 2026, and for interim periods within fiscal years beginning after December 15, 2027, with early adoption permitted. We are currently evaluating the impact of the adoption of ASU 2024-03.</w:t>
      </w:r>
    </w:p>
    <w:p>
      <w:pPr>
        <w:pStyle w:val="TextBody"/>
        <w:bidi w:val="0"/>
        <w:spacing w:lineRule="auto" w:line="288" w:before="20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In September 2025, the FASB issued ASU No. 2025-06 - Intangibles - Goodwill and Other - Internal-Use Software (Subtopic 350-40): Targeted Improvements to the Accounting for Internal-Use Software. The amendments in ASU 2025-06 remove all references to prescriptive and sequential software development stages. This ASU requires entities to begin capitalizing software costs when management authorizes and commits to funding the software project, and it is probable that the project will be completed and the software will be used for its intended purpose. ASU 2025-06 is effective for fiscal years beginning after December 15, 2027, with early adoption permitted. We are currently evaluating the impact of the adoption of ASU 2025-06.</w:t>
      </w:r>
    </w:p>
    <w:p>
      <w:pPr>
        <w:pStyle w:val="TextBody"/>
        <w:bidi w:val="0"/>
        <w:spacing w:lineRule="auto" w:line="288" w:before="20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In December 2025, the FASB issued ASU 2025-11 - Interim Reporting (Topic 270): Narrow-Scope Improvements. The amendments in ASU 2025-11 provide clarifications intended to improve the consistency and usability of interim disclosure requirements, including a comprehensive listing of required interim disclosures and a new disclosure principle for reporting material events occurring after the most recent annual financial reporting period. ASU 2025-11 is effective for fiscal years beginning after December 15, 2027, and interim periods within those fiscal years, with early adoption permitted. We are currently evaluating the impact of the adoption of ASU 2025-11.</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146685"/>
                <wp:effectExtent l="0" t="0" r="0" b="0"/>
                <wp:wrapNone/>
                <wp:docPr id="8" name="Frame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6</w:t>
                      </w:r>
                    </w:p>
                  </w:txbxContent>
                </v:textbox>
                <w10:wrap type="none"/>
              </v:rect>
            </w:pict>
          </mc:Fallback>
        </mc:AlternateContent>
      </w:r>
    </w:p>
    <w:p>
      <w:pPr>
        <w:pStyle w:val="TextBody"/>
        <w:bidi w:val="0"/>
        <w:spacing w:lineRule="auto" w:line="288" w:before="0" w:after="0"/>
        <w:jc w:val="left"/>
        <w:rPr/>
      </w:pPr>
      <w:hyperlink w:anchor="i7f5619487a1149c59a3dd36fee75a584_7">
        <w:r>
          <w:rPr>
            <w:rStyle w:val="InternetLink"/>
            <w:rFonts w:ascii="Times New Roman;serif" w:hAnsi="Times New Roman;serif"/>
            <w:b w:val="false"/>
            <w:color w:val="0000FF"/>
            <w:sz w:val="20"/>
            <w:u w:val="single"/>
          </w:rPr>
          <w:t>Table of Contents</w:t>
        </w:r>
      </w:hyperlink>
    </w:p>
    <w:p>
      <w:pPr>
        <w:pStyle w:val="TextBody"/>
        <w:bidi w:val="0"/>
        <w:spacing w:lineRule="auto" w:line="288" w:before="200" w:after="283"/>
        <w:jc w:val="left"/>
        <w:rPr>
          <w:rFonts w:ascii="Times New Roman;serif" w:hAnsi="Times New Roman;serif"/>
          <w:b/>
          <w:color w:val="000000"/>
          <w:sz w:val="20"/>
        </w:rPr>
      </w:pPr>
      <w:r>
        <w:rPr>
          <w:rFonts w:ascii="Times New Roman;serif" w:hAnsi="Times New Roman;serif"/>
          <w:b/>
          <w:color w:val="000000"/>
          <w:sz w:val="20"/>
        </w:rPr>
        <w:t>3. Fair Value Measurements and Fair Value of Financial Instruments</w:t>
      </w:r>
    </w:p>
    <w:p>
      <w:pPr>
        <w:pStyle w:val="TextBody"/>
        <w:bidi w:val="0"/>
        <w:spacing w:lineRule="auto" w:line="288" w:before="20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We classify fair value-based measurements using a three-level hierarchy that prioritizes the inputs used to measure fair value. This hierarchy requires entities to maximize the use of observable inputs and minimize the use of unobservable inputs. The three levels of inputs used to measure fair value are as follows: Level 1, quoted market prices (unadjusted) in active markets for identical assets or liabilities; Level 2, observable inputs other than quoted market prices included in Level 1, such as quoted market prices for markets that are not active or other inputs that are observable or can be corroborated by observable market data; and Level 3, unobservable inputs that are supported by little or no market activity and that are significant to the fair value of the assets or liabilities, including certain pricing models, discounted cash flow methodologies and similar techniques that use significant unobservable inputs. Changes in the ability to observe valuation inputs may result in a reclassification of levels of certain securities within the fair value hierarchy. We recognize transfers into and out of levels within the fair value hierarchy in the period in which the actual event or change in circumstances that caused the transfer occurs. No such transfers occurred during the three months ended March 31, 2026, and March 31, 2025. </w:t>
      </w:r>
    </w:p>
    <w:p>
      <w:pPr>
        <w:pStyle w:val="TextBody"/>
        <w:bidi w:val="0"/>
        <w:spacing w:lineRule="auto" w:line="288" w:before="200" w:after="283"/>
        <w:jc w:val="left"/>
        <w:rPr>
          <w:rFonts w:ascii="Times New Roman;serif" w:hAnsi="Times New Roman;serif"/>
          <w:b/>
          <w:i/>
          <w:color w:val="000000"/>
          <w:sz w:val="20"/>
        </w:rPr>
      </w:pPr>
      <w:r>
        <w:rPr>
          <w:rFonts w:ascii="Times New Roman;serif" w:hAnsi="Times New Roman;serif"/>
          <w:b/>
          <w:i/>
          <w:color w:val="000000"/>
          <w:sz w:val="20"/>
        </w:rPr>
        <w:t>Recurring Measurements</w:t>
      </w:r>
    </w:p>
    <w:p>
      <w:pPr>
        <w:pStyle w:val="TextBody"/>
        <w:bidi w:val="0"/>
        <w:spacing w:lineRule="auto" w:line="288" w:before="20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following table sets forth our financial instruments that were measured at fair value on a recurring basis by level within the fair value hierarchy (in thousands):</w:t>
      </w:r>
    </w:p>
    <w:tbl>
      <w:tblPr>
        <w:tblW w:w="10205" w:type="dxa"/>
        <w:jc w:val="left"/>
        <w:tblInd w:w="0" w:type="dxa"/>
        <w:tblLayout w:type="fixed"/>
        <w:tblCellMar>
          <w:top w:w="28" w:type="dxa"/>
          <w:left w:w="28" w:type="dxa"/>
          <w:bottom w:w="28" w:type="dxa"/>
          <w:right w:w="28" w:type="dxa"/>
        </w:tblCellMar>
      </w:tblPr>
      <w:tblGrid>
        <w:gridCol w:w="1913"/>
        <w:gridCol w:w="1648"/>
        <w:gridCol w:w="1662"/>
        <w:gridCol w:w="211"/>
        <w:gridCol w:w="826"/>
        <w:gridCol w:w="109"/>
        <w:gridCol w:w="109"/>
        <w:gridCol w:w="109"/>
        <w:gridCol w:w="109"/>
        <w:gridCol w:w="211"/>
        <w:gridCol w:w="721"/>
        <w:gridCol w:w="109"/>
        <w:gridCol w:w="109"/>
        <w:gridCol w:w="109"/>
        <w:gridCol w:w="109"/>
        <w:gridCol w:w="211"/>
        <w:gridCol w:w="721"/>
        <w:gridCol w:w="109"/>
        <w:gridCol w:w="109"/>
        <w:gridCol w:w="109"/>
        <w:gridCol w:w="109"/>
        <w:gridCol w:w="211"/>
        <w:gridCol w:w="406"/>
        <w:gridCol w:w="156"/>
      </w:tblGrid>
      <w:tr>
        <w:trPr/>
        <w:tc>
          <w:tcPr>
            <w:tcW w:w="1913" w:type="dxa"/>
            <w:tcBorders/>
            <w:vAlign w:val="center"/>
          </w:tcPr>
          <w:p>
            <w:pPr>
              <w:pStyle w:val="TableContents"/>
              <w:bidi w:val="0"/>
              <w:spacing w:before="0" w:after="283"/>
              <w:jc w:val="left"/>
              <w:rPr>
                <w:sz w:val="4"/>
                <w:szCs w:val="4"/>
              </w:rPr>
            </w:pPr>
            <w:r>
              <w:rPr>
                <w:sz w:val="4"/>
                <w:szCs w:val="4"/>
              </w:rPr>
            </w:r>
          </w:p>
        </w:tc>
        <w:tc>
          <w:tcPr>
            <w:tcW w:w="1648" w:type="dxa"/>
            <w:tcBorders/>
            <w:vAlign w:val="center"/>
          </w:tcPr>
          <w:p>
            <w:pPr>
              <w:pStyle w:val="TableContents"/>
              <w:bidi w:val="0"/>
              <w:spacing w:before="0" w:after="283"/>
              <w:jc w:val="left"/>
              <w:rPr>
                <w:sz w:val="4"/>
                <w:szCs w:val="4"/>
              </w:rPr>
            </w:pPr>
            <w:r>
              <w:rPr>
                <w:sz w:val="4"/>
                <w:szCs w:val="4"/>
              </w:rPr>
            </w:r>
          </w:p>
        </w:tc>
        <w:tc>
          <w:tcPr>
            <w:tcW w:w="1662"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52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82" w:type="dxa"/>
            <w:gridSpan w:val="21"/>
            <w:tcBorders/>
            <w:tcMar>
              <w:top w:w="0" w:type="dxa"/>
              <w:left w:w="0" w:type="dxa"/>
              <w:bottom w:w="0" w:type="dxa"/>
              <w:right w:w="0" w:type="dxa"/>
            </w:tcMar>
            <w:vAlign w:val="center"/>
          </w:tcPr>
          <w:p>
            <w:pPr>
              <w:pStyle w:val="TableContents"/>
              <w:bidi w:val="0"/>
              <w:spacing w:lineRule="auto" w:line="252" w:before="0" w:after="283"/>
              <w:jc w:val="center"/>
              <w:rPr>
                <w:rFonts w:ascii="Times New Roman;serif" w:hAnsi="Times New Roman;serif"/>
                <w:b/>
                <w:color w:val="000000"/>
                <w:sz w:val="16"/>
              </w:rPr>
            </w:pPr>
            <w:r>
              <w:rPr>
                <w:rFonts w:ascii="Times New Roman;serif" w:hAnsi="Times New Roman;serif"/>
                <w:b/>
                <w:color w:val="000000"/>
                <w:sz w:val="16"/>
              </w:rPr>
              <w:t>Fair Value Measurements as of March 31, 2026</w:t>
            </w:r>
          </w:p>
        </w:tc>
      </w:tr>
      <w:tr>
        <w:trPr/>
        <w:tc>
          <w:tcPr>
            <w:tcW w:w="52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52" w:before="0" w:after="283"/>
              <w:jc w:val="center"/>
              <w:rPr>
                <w:rFonts w:ascii="Times New Roman;serif" w:hAnsi="Times New Roman;serif"/>
                <w:b/>
                <w:color w:val="000000"/>
                <w:sz w:val="16"/>
              </w:rPr>
            </w:pPr>
            <w:r>
              <w:rPr>
                <w:rFonts w:ascii="Times New Roman;serif" w:hAnsi="Times New Roman;serif"/>
                <w:b/>
                <w:color w:val="000000"/>
                <w:sz w:val="16"/>
              </w:rPr>
              <w:t>Total</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52" w:before="0" w:after="283"/>
              <w:jc w:val="center"/>
              <w:rPr>
                <w:rFonts w:ascii="Times New Roman;serif" w:hAnsi="Times New Roman;serif"/>
                <w:b/>
                <w:color w:val="000000"/>
                <w:sz w:val="16"/>
              </w:rPr>
            </w:pPr>
            <w:r>
              <w:rPr>
                <w:rFonts w:ascii="Times New Roman;serif" w:hAnsi="Times New Roman;serif"/>
                <w:b/>
                <w:color w:val="000000"/>
                <w:sz w:val="16"/>
              </w:rPr>
              <w:t>Level 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52" w:before="0" w:after="283"/>
              <w:jc w:val="center"/>
              <w:rPr>
                <w:rFonts w:ascii="Times New Roman;serif" w:hAnsi="Times New Roman;serif"/>
                <w:b/>
                <w:color w:val="000000"/>
                <w:sz w:val="16"/>
              </w:rPr>
            </w:pPr>
            <w:r>
              <w:rPr>
                <w:rFonts w:ascii="Times New Roman;serif" w:hAnsi="Times New Roman;serif"/>
                <w:b/>
                <w:color w:val="000000"/>
                <w:sz w:val="16"/>
              </w:rPr>
              <w:t>Level 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52" w:before="0" w:after="283"/>
              <w:jc w:val="center"/>
              <w:rPr>
                <w:rFonts w:ascii="Times New Roman;serif" w:hAnsi="Times New Roman;serif"/>
                <w:b/>
                <w:color w:val="000000"/>
                <w:sz w:val="16"/>
              </w:rPr>
            </w:pPr>
            <w:r>
              <w:rPr>
                <w:rFonts w:ascii="Times New Roman;serif" w:hAnsi="Times New Roman;serif"/>
                <w:b/>
                <w:color w:val="000000"/>
                <w:sz w:val="16"/>
              </w:rPr>
              <w:t>Level 3</w:t>
            </w:r>
          </w:p>
        </w:tc>
      </w:tr>
      <w:tr>
        <w:trPr/>
        <w:tc>
          <w:tcPr>
            <w:tcW w:w="5223" w:type="dxa"/>
            <w:gridSpan w:val="3"/>
            <w:tcBorders/>
            <w:shd w:fill="CCEEFF" w:val="clear"/>
            <w:tcMar>
              <w:top w:w="0" w:type="dxa"/>
              <w:left w:w="0" w:type="dxa"/>
              <w:bottom w:w="0" w:type="dxa"/>
              <w:right w:w="0" w:type="dxa"/>
            </w:tcMar>
            <w:vAlign w:val="center"/>
          </w:tcPr>
          <w:p>
            <w:pPr>
              <w:pStyle w:val="TableContents"/>
              <w:bidi w:val="0"/>
              <w:spacing w:lineRule="auto" w:line="252" w:before="0" w:after="283"/>
              <w:jc w:val="left"/>
              <w:rPr>
                <w:rFonts w:ascii="Times New Roman;serif" w:hAnsi="Times New Roman;serif"/>
                <w:b w:val="false"/>
                <w:color w:val="000000"/>
                <w:sz w:val="20"/>
              </w:rPr>
            </w:pPr>
            <w:r>
              <w:rPr>
                <w:rFonts w:ascii="Times New Roman;serif" w:hAnsi="Times New Roman;serif"/>
                <w:b w:val="false"/>
                <w:color w:val="000000"/>
                <w:sz w:val="20"/>
              </w:rPr>
              <w:t>Assets:</w:t>
            </w:r>
          </w:p>
        </w:tc>
        <w:tc>
          <w:tcPr>
            <w:tcW w:w="114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52"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52"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52"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3"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52" w:before="0" w:after="283"/>
              <w:jc w:val="right"/>
              <w:rPr>
                <w:color w:val="000000"/>
              </w:rPr>
            </w:pPr>
            <w:r>
              <w:rPr>
                <w:color w:val="000000"/>
              </w:rPr>
              <w:t> </w:t>
            </w:r>
          </w:p>
        </w:tc>
      </w:tr>
      <w:tr>
        <w:trPr/>
        <w:tc>
          <w:tcPr>
            <w:tcW w:w="5223" w:type="dxa"/>
            <w:gridSpan w:val="3"/>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serif" w:hAnsi="Times New Roman;serif"/>
                <w:b w:val="false"/>
                <w:color w:val="000000"/>
                <w:sz w:val="20"/>
              </w:rPr>
            </w:pPr>
            <w:r>
              <w:rPr>
                <w:rFonts w:ascii="Times New Roman;serif" w:hAnsi="Times New Roman;serif"/>
                <w:b w:val="false"/>
                <w:color w:val="000000"/>
                <w:sz w:val="20"/>
              </w:rPr>
              <w:t>U.S. Treasury bills</w:t>
            </w:r>
          </w:p>
        </w:tc>
        <w:tc>
          <w:tcPr>
            <w:tcW w:w="21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serif" w:hAnsi="Times New Roman;serif"/>
                <w:b w:val="false"/>
                <w:color w:val="000000"/>
                <w:sz w:val="20"/>
              </w:rPr>
            </w:pPr>
            <w:r>
              <w:rPr>
                <w:rFonts w:ascii="Times New Roman;serif" w:hAnsi="Times New Roman;serif"/>
                <w:b w:val="false"/>
                <w:color w:val="000000"/>
                <w:sz w:val="20"/>
              </w:rPr>
              <w:t>63,405 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serif" w:hAnsi="Times New Roman;serif"/>
                <w:b w:val="false"/>
                <w:color w:val="000000"/>
                <w:sz w:val="20"/>
              </w:rPr>
            </w:pPr>
            <w:r>
              <w:rPr>
                <w:rFonts w:ascii="Times New Roman;serif" w:hAnsi="Times New Roman;serif"/>
                <w:b w:val="false"/>
                <w:color w:val="000000"/>
                <w:sz w:val="20"/>
              </w:rPr>
              <w:t>63,405 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06"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color w:val="000000"/>
              </w:rPr>
            </w:pPr>
            <w:r>
              <w:rPr>
                <w:color w:val="000000"/>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23" w:type="dxa"/>
            <w:gridSpan w:val="3"/>
            <w:tcBorders/>
            <w:shd w:fill="CCEEFF" w:val="clear"/>
            <w:tcMar>
              <w:top w:w="0" w:type="dxa"/>
              <w:left w:w="0" w:type="dxa"/>
              <w:bottom w:w="0" w:type="dxa"/>
              <w:right w:w="0" w:type="dxa"/>
            </w:tcMar>
            <w:vAlign w:val="center"/>
          </w:tcPr>
          <w:p>
            <w:pPr>
              <w:pStyle w:val="TableContents"/>
              <w:bidi w:val="0"/>
              <w:spacing w:lineRule="auto" w:line="252" w:before="0" w:after="283"/>
              <w:jc w:val="left"/>
              <w:rPr>
                <w:rFonts w:ascii="Times New Roman;serif" w:hAnsi="Times New Roman;serif"/>
                <w:b w:val="false"/>
                <w:color w:val="000000"/>
                <w:sz w:val="20"/>
              </w:rPr>
            </w:pPr>
            <w:r>
              <w:rPr>
                <w:rFonts w:ascii="Times New Roman;serif" w:hAnsi="Times New Roman;serif"/>
                <w:b w:val="false"/>
                <w:color w:val="000000"/>
                <w:sz w:val="20"/>
              </w:rPr>
              <w:t>U.S. government agency bonds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52" w:before="0" w:after="283"/>
              <w:jc w:val="right"/>
              <w:rPr>
                <w:rFonts w:ascii="Times New Roman;serif" w:hAnsi="Times New Roman;serif"/>
                <w:b w:val="false"/>
                <w:color w:val="000000"/>
                <w:sz w:val="20"/>
              </w:rPr>
            </w:pPr>
            <w:r>
              <w:rPr>
                <w:rFonts w:ascii="Times New Roman;serif" w:hAnsi="Times New Roman;serif"/>
                <w:b w:val="false"/>
                <w:color w:val="000000"/>
                <w:sz w:val="20"/>
              </w:rPr>
              <w:t>28,498 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52"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52" w:before="0" w:after="283"/>
              <w:jc w:val="right"/>
              <w:rPr>
                <w:rFonts w:ascii="Times New Roman;serif" w:hAnsi="Times New Roman;serif"/>
                <w:b w:val="false"/>
                <w:color w:val="000000"/>
                <w:sz w:val="20"/>
              </w:rPr>
            </w:pPr>
            <w:r>
              <w:rPr>
                <w:rFonts w:ascii="Times New Roman;serif" w:hAnsi="Times New Roman;serif"/>
                <w:b w:val="false"/>
                <w:color w:val="000000"/>
                <w:sz w:val="20"/>
              </w:rPr>
              <w:t>28,498 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52" w:before="0" w:after="283"/>
              <w:jc w:val="right"/>
              <w:rPr>
                <w:color w:val="000000"/>
              </w:rPr>
            </w:pPr>
            <w:r>
              <w:rPr>
                <w:color w:val="000000"/>
              </w:rPr>
              <w:t>—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23" w:type="dxa"/>
            <w:gridSpan w:val="3"/>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serif" w:hAnsi="Times New Roman;serif"/>
                <w:b w:val="false"/>
                <w:color w:val="000000"/>
                <w:sz w:val="20"/>
              </w:rPr>
            </w:pPr>
            <w:r>
              <w:rPr>
                <w:rFonts w:ascii="Times New Roman;serif" w:hAnsi="Times New Roman;serif"/>
                <w:b w:val="false"/>
                <w:color w:val="000000"/>
                <w:sz w:val="20"/>
              </w:rPr>
              <w:t>Money market fund investments (included in cash and cash equivalents)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serif" w:hAnsi="Times New Roman;serif"/>
                <w:b w:val="false"/>
                <w:color w:val="000000"/>
                <w:sz w:val="20"/>
              </w:rPr>
            </w:pPr>
            <w:r>
              <w:rPr>
                <w:rFonts w:ascii="Times New Roman;serif" w:hAnsi="Times New Roman;serif"/>
                <w:b w:val="false"/>
                <w:color w:val="000000"/>
                <w:sz w:val="20"/>
              </w:rPr>
              <w:t>12,057 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serif" w:hAnsi="Times New Roman;serif"/>
                <w:b w:val="false"/>
                <w:color w:val="000000"/>
                <w:sz w:val="20"/>
              </w:rPr>
            </w:pPr>
            <w:r>
              <w:rPr>
                <w:rFonts w:ascii="Times New Roman;serif" w:hAnsi="Times New Roman;serif"/>
                <w:b w:val="false"/>
                <w:color w:val="000000"/>
                <w:sz w:val="20"/>
              </w:rPr>
              <w:t>12,057 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52"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52" w:before="0" w:after="283"/>
              <w:jc w:val="right"/>
              <w:rPr>
                <w:color w:val="000000"/>
              </w:rPr>
            </w:pPr>
            <w:r>
              <w:rPr>
                <w:color w:val="000000"/>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23" w:type="dxa"/>
            <w:gridSpan w:val="3"/>
            <w:tcBorders/>
            <w:shd w:fill="CCEEFF" w:val="clear"/>
            <w:tcMar>
              <w:top w:w="0" w:type="dxa"/>
              <w:left w:w="0" w:type="dxa"/>
              <w:bottom w:w="0" w:type="dxa"/>
              <w:right w:w="0" w:type="dxa"/>
            </w:tcMar>
            <w:vAlign w:val="center"/>
          </w:tcPr>
          <w:p>
            <w:pPr>
              <w:pStyle w:val="TableContents"/>
              <w:bidi w:val="0"/>
              <w:spacing w:lineRule="auto" w:line="252" w:before="0" w:after="283"/>
              <w:jc w:val="left"/>
              <w:rPr>
                <w:rFonts w:ascii="Times New Roman;serif" w:hAnsi="Times New Roman;serif"/>
                <w:b w:val="false"/>
                <w:color w:val="000000"/>
                <w:sz w:val="20"/>
              </w:rPr>
            </w:pPr>
            <w:r>
              <w:rPr>
                <w:rFonts w:ascii="Times New Roman;serif" w:hAnsi="Times New Roman;serif"/>
                <w:b w:val="false"/>
                <w:color w:val="000000"/>
                <w:sz w:val="20"/>
              </w:rPr>
              <w:t>Corporate debt securities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52" w:before="0" w:after="283"/>
              <w:jc w:val="right"/>
              <w:rPr>
                <w:rFonts w:ascii="Times New Roman;serif" w:hAnsi="Times New Roman;serif"/>
                <w:b w:val="false"/>
                <w:color w:val="000000"/>
                <w:sz w:val="20"/>
              </w:rPr>
            </w:pPr>
            <w:r>
              <w:rPr>
                <w:rFonts w:ascii="Times New Roman;serif" w:hAnsi="Times New Roman;serif"/>
                <w:b w:val="false"/>
                <w:color w:val="000000"/>
                <w:sz w:val="20"/>
              </w:rPr>
              <w:t>7,685 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52"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52" w:before="0" w:after="283"/>
              <w:jc w:val="right"/>
              <w:rPr>
                <w:rFonts w:ascii="Times New Roman;serif" w:hAnsi="Times New Roman;serif"/>
                <w:b w:val="false"/>
                <w:color w:val="000000"/>
                <w:sz w:val="20"/>
              </w:rPr>
            </w:pPr>
            <w:r>
              <w:rPr>
                <w:rFonts w:ascii="Times New Roman;serif" w:hAnsi="Times New Roman;serif"/>
                <w:b w:val="false"/>
                <w:color w:val="000000"/>
                <w:sz w:val="20"/>
              </w:rPr>
              <w:t>7,685 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52" w:before="0" w:after="283"/>
              <w:jc w:val="right"/>
              <w:rPr>
                <w:color w:val="000000"/>
              </w:rPr>
            </w:pPr>
            <w:r>
              <w:rPr>
                <w:color w:val="000000"/>
              </w:rPr>
              <w:t>—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23" w:type="dxa"/>
            <w:gridSpan w:val="3"/>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serif" w:hAnsi="Times New Roman;serif"/>
                <w:b w:val="false"/>
                <w:color w:val="000000"/>
                <w:sz w:val="20"/>
              </w:rPr>
            </w:pPr>
            <w:r>
              <w:rPr>
                <w:rFonts w:ascii="Times New Roman;serif" w:hAnsi="Times New Roman;serif"/>
                <w:b w:val="false"/>
                <w:color w:val="000000"/>
                <w:sz w:val="20"/>
              </w:rPr>
              <w:t>Commercial paper</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serif" w:hAnsi="Times New Roman;serif"/>
                <w:b w:val="false"/>
                <w:color w:val="000000"/>
                <w:sz w:val="20"/>
              </w:rPr>
            </w:pPr>
            <w:r>
              <w:rPr>
                <w:rFonts w:ascii="Times New Roman;serif" w:hAnsi="Times New Roman;serif"/>
                <w:b w:val="false"/>
                <w:color w:val="000000"/>
                <w:sz w:val="20"/>
              </w:rPr>
              <w:t>6,982 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52"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serif" w:hAnsi="Times New Roman;serif"/>
                <w:b w:val="false"/>
                <w:color w:val="000000"/>
                <w:sz w:val="20"/>
              </w:rPr>
            </w:pPr>
            <w:r>
              <w:rPr>
                <w:rFonts w:ascii="Times New Roman;serif" w:hAnsi="Times New Roman;serif"/>
                <w:b w:val="false"/>
                <w:color w:val="000000"/>
                <w:sz w:val="20"/>
              </w:rPr>
              <w:t>6,982 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52" w:before="0" w:after="283"/>
              <w:jc w:val="right"/>
              <w:rPr>
                <w:color w:val="000000"/>
              </w:rPr>
            </w:pPr>
            <w:r>
              <w:rPr>
                <w:color w:val="000000"/>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23" w:type="dxa"/>
            <w:gridSpan w:val="3"/>
            <w:tcBorders/>
            <w:shd w:fill="CCEEFF" w:val="clear"/>
            <w:tcMar>
              <w:top w:w="0" w:type="dxa"/>
              <w:left w:w="0" w:type="dxa"/>
              <w:bottom w:w="0" w:type="dxa"/>
              <w:right w:w="0" w:type="dxa"/>
            </w:tcMar>
            <w:vAlign w:val="center"/>
          </w:tcPr>
          <w:p>
            <w:pPr>
              <w:pStyle w:val="TableContents"/>
              <w:bidi w:val="0"/>
              <w:spacing w:lineRule="auto" w:line="252" w:before="0" w:after="283"/>
              <w:jc w:val="left"/>
              <w:rPr>
                <w:rFonts w:ascii="Times New Roman;serif" w:hAnsi="Times New Roman;serif"/>
                <w:b w:val="false"/>
                <w:color w:val="000000"/>
                <w:sz w:val="20"/>
              </w:rPr>
            </w:pPr>
            <w:r>
              <w:rPr>
                <w:rFonts w:ascii="Times New Roman;serif" w:hAnsi="Times New Roman;serif"/>
                <w:b w:val="false"/>
                <w:color w:val="000000"/>
                <w:sz w:val="20"/>
              </w:rPr>
              <w:t>Total fair value of assets</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52"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52" w:before="0" w:after="283"/>
              <w:jc w:val="right"/>
              <w:rPr>
                <w:rFonts w:ascii="Times New Roman;serif" w:hAnsi="Times New Roman;serif"/>
                <w:b w:val="false"/>
                <w:color w:val="000000"/>
                <w:sz w:val="20"/>
              </w:rPr>
            </w:pPr>
            <w:r>
              <w:rPr>
                <w:rFonts w:ascii="Times New Roman;serif" w:hAnsi="Times New Roman;serif"/>
                <w:b w:val="false"/>
                <w:color w:val="000000"/>
                <w:sz w:val="20"/>
              </w:rPr>
              <w:t>118,627 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52"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52" w:before="0" w:after="283"/>
              <w:jc w:val="right"/>
              <w:rPr>
                <w:rFonts w:ascii="Times New Roman;serif" w:hAnsi="Times New Roman;serif"/>
                <w:b w:val="false"/>
                <w:color w:val="000000"/>
                <w:sz w:val="20"/>
              </w:rPr>
            </w:pPr>
            <w:r>
              <w:rPr>
                <w:rFonts w:ascii="Times New Roman;serif" w:hAnsi="Times New Roman;serif"/>
                <w:b w:val="false"/>
                <w:color w:val="000000"/>
                <w:sz w:val="20"/>
              </w:rPr>
              <w:t>75,462 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52"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52" w:before="0" w:after="283"/>
              <w:jc w:val="right"/>
              <w:rPr>
                <w:rFonts w:ascii="Times New Roman;serif" w:hAnsi="Times New Roman;serif"/>
                <w:b w:val="false"/>
                <w:color w:val="000000"/>
                <w:sz w:val="20"/>
              </w:rPr>
            </w:pPr>
            <w:r>
              <w:rPr>
                <w:rFonts w:ascii="Times New Roman;serif" w:hAnsi="Times New Roman;serif"/>
                <w:b w:val="false"/>
                <w:color w:val="000000"/>
                <w:sz w:val="20"/>
              </w:rPr>
              <w:t>43,165 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52"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0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52" w:before="0" w:after="283"/>
              <w:jc w:val="right"/>
              <w:rPr>
                <w:color w:val="000000"/>
              </w:rPr>
            </w:pPr>
            <w:r>
              <w:rPr>
                <w:color w:val="000000"/>
              </w:rPr>
              <w:t>— </w:t>
            </w:r>
          </w:p>
        </w:tc>
        <w:tc>
          <w:tcPr>
            <w:tcW w:w="1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1913"/>
        <w:gridCol w:w="1648"/>
        <w:gridCol w:w="1662"/>
        <w:gridCol w:w="211"/>
        <w:gridCol w:w="826"/>
        <w:gridCol w:w="109"/>
        <w:gridCol w:w="109"/>
        <w:gridCol w:w="109"/>
        <w:gridCol w:w="109"/>
        <w:gridCol w:w="211"/>
        <w:gridCol w:w="721"/>
        <w:gridCol w:w="109"/>
        <w:gridCol w:w="109"/>
        <w:gridCol w:w="109"/>
        <w:gridCol w:w="109"/>
        <w:gridCol w:w="211"/>
        <w:gridCol w:w="721"/>
        <w:gridCol w:w="109"/>
        <w:gridCol w:w="109"/>
        <w:gridCol w:w="109"/>
        <w:gridCol w:w="109"/>
        <w:gridCol w:w="211"/>
        <w:gridCol w:w="406"/>
        <w:gridCol w:w="156"/>
      </w:tblGrid>
      <w:tr>
        <w:trPr/>
        <w:tc>
          <w:tcPr>
            <w:tcW w:w="1913" w:type="dxa"/>
            <w:tcBorders/>
            <w:vAlign w:val="center"/>
          </w:tcPr>
          <w:p>
            <w:pPr>
              <w:pStyle w:val="TableContents"/>
              <w:bidi w:val="0"/>
              <w:spacing w:before="0" w:after="283"/>
              <w:jc w:val="left"/>
              <w:rPr>
                <w:sz w:val="4"/>
                <w:szCs w:val="4"/>
              </w:rPr>
            </w:pPr>
            <w:r>
              <w:rPr>
                <w:sz w:val="4"/>
                <w:szCs w:val="4"/>
              </w:rPr>
            </w:r>
          </w:p>
        </w:tc>
        <w:tc>
          <w:tcPr>
            <w:tcW w:w="1648" w:type="dxa"/>
            <w:tcBorders/>
            <w:vAlign w:val="center"/>
          </w:tcPr>
          <w:p>
            <w:pPr>
              <w:pStyle w:val="TableContents"/>
              <w:bidi w:val="0"/>
              <w:spacing w:before="0" w:after="283"/>
              <w:jc w:val="left"/>
              <w:rPr>
                <w:sz w:val="4"/>
                <w:szCs w:val="4"/>
              </w:rPr>
            </w:pPr>
            <w:r>
              <w:rPr>
                <w:sz w:val="4"/>
                <w:szCs w:val="4"/>
              </w:rPr>
            </w:r>
          </w:p>
        </w:tc>
        <w:tc>
          <w:tcPr>
            <w:tcW w:w="1662"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5223" w:type="dxa"/>
            <w:gridSpan w:val="3"/>
            <w:tcBorders/>
            <w:tcMar>
              <w:top w:w="0" w:type="dxa"/>
              <w:left w:w="0" w:type="dxa"/>
              <w:bottom w:w="0" w:type="dxa"/>
              <w:right w:w="0" w:type="dxa"/>
            </w:tcMar>
            <w:vAlign w:val="center"/>
          </w:tcPr>
          <w:p>
            <w:pPr>
              <w:pStyle w:val="TableContents"/>
              <w:bidi w:val="0"/>
              <w:spacing w:lineRule="auto" w:line="252" w:before="0" w:after="283"/>
              <w:jc w:val="center"/>
              <w:rPr>
                <w:color w:val="000000"/>
              </w:rPr>
            </w:pPr>
            <w:r>
              <w:rPr>
                <w:color w:val="000000"/>
              </w:rPr>
              <w:t> </w:t>
            </w:r>
          </w:p>
        </w:tc>
        <w:tc>
          <w:tcPr>
            <w:tcW w:w="4982" w:type="dxa"/>
            <w:gridSpan w:val="21"/>
            <w:tcBorders/>
            <w:tcMar>
              <w:top w:w="0" w:type="dxa"/>
              <w:left w:w="0" w:type="dxa"/>
              <w:bottom w:w="0" w:type="dxa"/>
              <w:right w:w="0" w:type="dxa"/>
            </w:tcMar>
            <w:vAlign w:val="center"/>
          </w:tcPr>
          <w:p>
            <w:pPr>
              <w:pStyle w:val="TableContents"/>
              <w:bidi w:val="0"/>
              <w:spacing w:lineRule="auto" w:line="252" w:before="0" w:after="283"/>
              <w:jc w:val="center"/>
              <w:rPr>
                <w:rFonts w:ascii="Times New Roman;serif" w:hAnsi="Times New Roman;serif"/>
                <w:b/>
                <w:color w:val="000000"/>
                <w:sz w:val="16"/>
              </w:rPr>
            </w:pPr>
            <w:r>
              <w:rPr>
                <w:rFonts w:ascii="Times New Roman;serif" w:hAnsi="Times New Roman;serif"/>
                <w:b/>
                <w:color w:val="000000"/>
                <w:sz w:val="16"/>
              </w:rPr>
              <w:t>Fair Value Measurements as of December 31, 2025</w:t>
            </w:r>
          </w:p>
        </w:tc>
      </w:tr>
      <w:tr>
        <w:trPr/>
        <w:tc>
          <w:tcPr>
            <w:tcW w:w="5223" w:type="dxa"/>
            <w:gridSpan w:val="3"/>
            <w:tcBorders/>
            <w:tcMar>
              <w:top w:w="0" w:type="dxa"/>
              <w:left w:w="0" w:type="dxa"/>
              <w:bottom w:w="0" w:type="dxa"/>
              <w:right w:w="0" w:type="dxa"/>
            </w:tcMar>
            <w:vAlign w:val="center"/>
          </w:tcPr>
          <w:p>
            <w:pPr>
              <w:pStyle w:val="TableContents"/>
              <w:bidi w:val="0"/>
              <w:spacing w:lineRule="auto" w:line="252" w:before="0" w:after="283"/>
              <w:jc w:val="center"/>
              <w:rPr>
                <w:color w:val="000000"/>
              </w:rPr>
            </w:pPr>
            <w:r>
              <w:rPr>
                <w:color w:val="000000"/>
              </w:rPr>
              <w:t> </w:t>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52" w:before="0" w:after="283"/>
              <w:jc w:val="center"/>
              <w:rPr>
                <w:rFonts w:ascii="Times New Roman;serif" w:hAnsi="Times New Roman;serif"/>
                <w:b/>
                <w:color w:val="000000"/>
                <w:sz w:val="16"/>
              </w:rPr>
            </w:pPr>
            <w:r>
              <w:rPr>
                <w:rFonts w:ascii="Times New Roman;serif" w:hAnsi="Times New Roman;serif"/>
                <w:b/>
                <w:color w:val="000000"/>
                <w:sz w:val="16"/>
              </w:rPr>
              <w:t>Total</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52" w:before="0" w:after="283"/>
              <w:jc w:val="center"/>
              <w:rPr>
                <w:rFonts w:ascii="Times New Roman;serif" w:hAnsi="Times New Roman;serif"/>
                <w:b/>
                <w:color w:val="000000"/>
                <w:sz w:val="16"/>
              </w:rPr>
            </w:pPr>
            <w:r>
              <w:rPr>
                <w:rFonts w:ascii="Times New Roman;serif" w:hAnsi="Times New Roman;serif"/>
                <w:b/>
                <w:color w:val="000000"/>
                <w:sz w:val="16"/>
              </w:rPr>
              <w:t>Level 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52" w:before="0" w:after="283"/>
              <w:jc w:val="center"/>
              <w:rPr>
                <w:rFonts w:ascii="Times New Roman;serif" w:hAnsi="Times New Roman;serif"/>
                <w:b/>
                <w:color w:val="000000"/>
                <w:sz w:val="16"/>
              </w:rPr>
            </w:pPr>
            <w:r>
              <w:rPr>
                <w:rFonts w:ascii="Times New Roman;serif" w:hAnsi="Times New Roman;serif"/>
                <w:b/>
                <w:color w:val="000000"/>
                <w:sz w:val="16"/>
              </w:rPr>
              <w:t>Level 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52" w:before="0" w:after="283"/>
              <w:jc w:val="center"/>
              <w:rPr>
                <w:rFonts w:ascii="Times New Roman;serif" w:hAnsi="Times New Roman;serif"/>
                <w:b/>
                <w:color w:val="000000"/>
                <w:sz w:val="16"/>
              </w:rPr>
            </w:pPr>
            <w:r>
              <w:rPr>
                <w:rFonts w:ascii="Times New Roman;serif" w:hAnsi="Times New Roman;serif"/>
                <w:b/>
                <w:color w:val="000000"/>
                <w:sz w:val="16"/>
              </w:rPr>
              <w:t>Level 3</w:t>
            </w:r>
          </w:p>
        </w:tc>
      </w:tr>
      <w:tr>
        <w:trPr/>
        <w:tc>
          <w:tcPr>
            <w:tcW w:w="5223" w:type="dxa"/>
            <w:gridSpan w:val="3"/>
            <w:tcBorders/>
            <w:shd w:fill="CCEEFF" w:val="clear"/>
            <w:tcMar>
              <w:top w:w="0" w:type="dxa"/>
              <w:left w:w="0" w:type="dxa"/>
              <w:bottom w:w="0" w:type="dxa"/>
              <w:right w:w="0" w:type="dxa"/>
            </w:tcMar>
            <w:vAlign w:val="center"/>
          </w:tcPr>
          <w:p>
            <w:pPr>
              <w:pStyle w:val="TableContents"/>
              <w:bidi w:val="0"/>
              <w:spacing w:lineRule="auto" w:line="252" w:before="0" w:after="283"/>
              <w:jc w:val="left"/>
              <w:rPr>
                <w:rFonts w:ascii="Times New Roman;serif" w:hAnsi="Times New Roman;serif"/>
                <w:b w:val="false"/>
                <w:color w:val="000000"/>
                <w:sz w:val="20"/>
              </w:rPr>
            </w:pPr>
            <w:r>
              <w:rPr>
                <w:rFonts w:ascii="Times New Roman;serif" w:hAnsi="Times New Roman;serif"/>
                <w:b w:val="false"/>
                <w:color w:val="000000"/>
                <w:sz w:val="20"/>
              </w:rPr>
              <w:t>Assets:</w:t>
            </w:r>
          </w:p>
        </w:tc>
        <w:tc>
          <w:tcPr>
            <w:tcW w:w="114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52"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52"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52"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3"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52" w:before="0" w:after="283"/>
              <w:jc w:val="right"/>
              <w:rPr>
                <w:color w:val="000000"/>
              </w:rPr>
            </w:pPr>
            <w:r>
              <w:rPr>
                <w:color w:val="000000"/>
              </w:rPr>
              <w:t> </w:t>
            </w:r>
          </w:p>
        </w:tc>
      </w:tr>
      <w:tr>
        <w:trPr/>
        <w:tc>
          <w:tcPr>
            <w:tcW w:w="5223" w:type="dxa"/>
            <w:gridSpan w:val="3"/>
            <w:tcBorders/>
            <w:shd w:fill="FFFFFF" w:val="clear"/>
            <w:tcMar>
              <w:top w:w="0" w:type="dxa"/>
              <w:left w:w="0" w:type="dxa"/>
              <w:bottom w:w="0" w:type="dxa"/>
              <w:right w:w="0" w:type="dxa"/>
            </w:tcMar>
            <w:vAlign w:val="center"/>
          </w:tcPr>
          <w:p>
            <w:pPr>
              <w:pStyle w:val="TableContents"/>
              <w:bidi w:val="0"/>
              <w:spacing w:lineRule="auto" w:line="252" w:before="0" w:after="0"/>
              <w:jc w:val="left"/>
              <w:rPr>
                <w:rFonts w:ascii="Times New Roman;serif" w:hAnsi="Times New Roman;serif"/>
                <w:b w:val="false"/>
                <w:color w:val="000000"/>
                <w:sz w:val="20"/>
              </w:rPr>
            </w:pPr>
            <w:r>
              <w:rPr>
                <w:rFonts w:ascii="Times New Roman;serif" w:hAnsi="Times New Roman;serif"/>
                <w:b w:val="false"/>
                <w:color w:val="000000"/>
                <w:sz w:val="20"/>
              </w:rPr>
              <w:t>U.S. Treasury bills</w:t>
            </w:r>
          </w:p>
        </w:tc>
        <w:tc>
          <w:tcPr>
            <w:tcW w:w="21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serif" w:hAnsi="Times New Roman;serif"/>
                <w:b w:val="false"/>
                <w:color w:val="000000"/>
                <w:sz w:val="20"/>
              </w:rPr>
            </w:pPr>
            <w:r>
              <w:rPr>
                <w:rFonts w:ascii="Times New Roman;serif" w:hAnsi="Times New Roman;serif"/>
                <w:b w:val="false"/>
                <w:color w:val="000000"/>
                <w:sz w:val="20"/>
              </w:rPr>
              <w:t>86,964 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serif" w:hAnsi="Times New Roman;serif"/>
                <w:b w:val="false"/>
                <w:color w:val="000000"/>
                <w:sz w:val="20"/>
              </w:rPr>
            </w:pPr>
            <w:r>
              <w:rPr>
                <w:rFonts w:ascii="Times New Roman;serif" w:hAnsi="Times New Roman;serif"/>
                <w:b w:val="false"/>
                <w:color w:val="000000"/>
                <w:sz w:val="20"/>
              </w:rPr>
              <w:t>86,964 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06"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color w:val="000000"/>
              </w:rPr>
            </w:pPr>
            <w:r>
              <w:rPr>
                <w:color w:val="000000"/>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23" w:type="dxa"/>
            <w:gridSpan w:val="3"/>
            <w:tcBorders/>
            <w:shd w:fill="CCEEFF" w:val="clear"/>
            <w:tcMar>
              <w:top w:w="0" w:type="dxa"/>
              <w:left w:w="0" w:type="dxa"/>
              <w:bottom w:w="0" w:type="dxa"/>
              <w:right w:w="0" w:type="dxa"/>
            </w:tcMar>
            <w:vAlign w:val="center"/>
          </w:tcPr>
          <w:p>
            <w:pPr>
              <w:pStyle w:val="TableContents"/>
              <w:bidi w:val="0"/>
              <w:spacing w:lineRule="auto" w:line="252" w:before="0" w:after="0"/>
              <w:jc w:val="left"/>
              <w:rPr>
                <w:rFonts w:ascii="Times New Roman;serif" w:hAnsi="Times New Roman;serif"/>
                <w:b w:val="false"/>
                <w:color w:val="000000"/>
                <w:sz w:val="20"/>
              </w:rPr>
            </w:pPr>
            <w:r>
              <w:rPr>
                <w:rFonts w:ascii="Times New Roman;serif" w:hAnsi="Times New Roman;serif"/>
                <w:b w:val="false"/>
                <w:color w:val="000000"/>
                <w:sz w:val="20"/>
              </w:rPr>
              <w:t>U.S. government agency bonds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52" w:before="0" w:after="283"/>
              <w:jc w:val="right"/>
              <w:rPr>
                <w:rFonts w:ascii="Times New Roman;serif" w:hAnsi="Times New Roman;serif"/>
                <w:b w:val="false"/>
                <w:color w:val="000000"/>
                <w:sz w:val="20"/>
              </w:rPr>
            </w:pPr>
            <w:r>
              <w:rPr>
                <w:rFonts w:ascii="Times New Roman;serif" w:hAnsi="Times New Roman;serif"/>
                <w:b w:val="false"/>
                <w:color w:val="000000"/>
                <w:sz w:val="20"/>
              </w:rPr>
              <w:t>28,717 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52"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52" w:before="0" w:after="283"/>
              <w:jc w:val="right"/>
              <w:rPr>
                <w:rFonts w:ascii="Times New Roman;serif" w:hAnsi="Times New Roman;serif"/>
                <w:b w:val="false"/>
                <w:color w:val="000000"/>
                <w:sz w:val="20"/>
              </w:rPr>
            </w:pPr>
            <w:r>
              <w:rPr>
                <w:rFonts w:ascii="Times New Roman;serif" w:hAnsi="Times New Roman;serif"/>
                <w:b w:val="false"/>
                <w:color w:val="000000"/>
                <w:sz w:val="20"/>
              </w:rPr>
              <w:t>28,717 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52" w:before="0" w:after="283"/>
              <w:jc w:val="right"/>
              <w:rPr>
                <w:color w:val="000000"/>
              </w:rPr>
            </w:pPr>
            <w:r>
              <w:rPr>
                <w:color w:val="000000"/>
              </w:rPr>
              <w:t>—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23" w:type="dxa"/>
            <w:gridSpan w:val="3"/>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serif" w:hAnsi="Times New Roman;serif"/>
                <w:b w:val="false"/>
                <w:color w:val="000000"/>
                <w:sz w:val="20"/>
              </w:rPr>
            </w:pPr>
            <w:r>
              <w:rPr>
                <w:rFonts w:ascii="Times New Roman;serif" w:hAnsi="Times New Roman;serif"/>
                <w:b w:val="false"/>
                <w:color w:val="000000"/>
                <w:sz w:val="20"/>
              </w:rPr>
              <w:t>Money market fund investments (included in cash and cash equivalents)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serif" w:hAnsi="Times New Roman;serif"/>
                <w:b w:val="false"/>
                <w:color w:val="000000"/>
                <w:sz w:val="20"/>
              </w:rPr>
            </w:pPr>
            <w:r>
              <w:rPr>
                <w:rFonts w:ascii="Times New Roman;serif" w:hAnsi="Times New Roman;serif"/>
                <w:b w:val="false"/>
                <w:color w:val="000000"/>
                <w:sz w:val="20"/>
              </w:rPr>
              <w:t>11,361 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serif" w:hAnsi="Times New Roman;serif"/>
                <w:b w:val="false"/>
                <w:color w:val="000000"/>
                <w:sz w:val="20"/>
              </w:rPr>
            </w:pPr>
            <w:r>
              <w:rPr>
                <w:rFonts w:ascii="Times New Roman;serif" w:hAnsi="Times New Roman;serif"/>
                <w:b w:val="false"/>
                <w:color w:val="000000"/>
                <w:sz w:val="20"/>
              </w:rPr>
              <w:t>11,361 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52"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52" w:before="0" w:after="283"/>
              <w:jc w:val="right"/>
              <w:rPr>
                <w:color w:val="000000"/>
              </w:rPr>
            </w:pPr>
            <w:r>
              <w:rPr>
                <w:color w:val="000000"/>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23" w:type="dxa"/>
            <w:gridSpan w:val="3"/>
            <w:tcBorders/>
            <w:shd w:fill="CCEEFF" w:val="clear"/>
            <w:tcMar>
              <w:top w:w="0" w:type="dxa"/>
              <w:left w:w="0" w:type="dxa"/>
              <w:bottom w:w="0" w:type="dxa"/>
              <w:right w:w="0" w:type="dxa"/>
            </w:tcMar>
            <w:vAlign w:val="center"/>
          </w:tcPr>
          <w:p>
            <w:pPr>
              <w:pStyle w:val="TableContents"/>
              <w:bidi w:val="0"/>
              <w:spacing w:lineRule="auto" w:line="252" w:before="0" w:after="283"/>
              <w:jc w:val="left"/>
              <w:rPr>
                <w:rFonts w:ascii="Times New Roman;serif" w:hAnsi="Times New Roman;serif"/>
                <w:b w:val="false"/>
                <w:color w:val="000000"/>
                <w:sz w:val="20"/>
              </w:rPr>
            </w:pPr>
            <w:r>
              <w:rPr>
                <w:rFonts w:ascii="Times New Roman;serif" w:hAnsi="Times New Roman;serif"/>
                <w:b w:val="false"/>
                <w:color w:val="000000"/>
                <w:sz w:val="20"/>
              </w:rPr>
              <w:t>Corporate debt securities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52" w:before="0" w:after="283"/>
              <w:jc w:val="right"/>
              <w:rPr>
                <w:rFonts w:ascii="Times New Roman;serif" w:hAnsi="Times New Roman;serif"/>
                <w:b w:val="false"/>
                <w:color w:val="000000"/>
                <w:sz w:val="20"/>
              </w:rPr>
            </w:pPr>
            <w:r>
              <w:rPr>
                <w:rFonts w:ascii="Times New Roman;serif" w:hAnsi="Times New Roman;serif"/>
                <w:b w:val="false"/>
                <w:color w:val="000000"/>
                <w:sz w:val="20"/>
              </w:rPr>
              <w:t>8,663 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52"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52" w:before="0" w:after="283"/>
              <w:jc w:val="right"/>
              <w:rPr>
                <w:rFonts w:ascii="Times New Roman;serif" w:hAnsi="Times New Roman;serif"/>
                <w:b w:val="false"/>
                <w:color w:val="000000"/>
                <w:sz w:val="20"/>
              </w:rPr>
            </w:pPr>
            <w:r>
              <w:rPr>
                <w:rFonts w:ascii="Times New Roman;serif" w:hAnsi="Times New Roman;serif"/>
                <w:b w:val="false"/>
                <w:color w:val="000000"/>
                <w:sz w:val="20"/>
              </w:rPr>
              <w:t>8,663 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52" w:before="0" w:after="283"/>
              <w:jc w:val="right"/>
              <w:rPr>
                <w:color w:val="000000"/>
              </w:rPr>
            </w:pPr>
            <w:r>
              <w:rPr>
                <w:color w:val="000000"/>
              </w:rPr>
              <w:t>—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23" w:type="dxa"/>
            <w:gridSpan w:val="3"/>
            <w:tcBorders/>
            <w:shd w:fill="FFFFFF" w:val="clear"/>
            <w:tcMar>
              <w:top w:w="0" w:type="dxa"/>
              <w:left w:w="0" w:type="dxa"/>
              <w:bottom w:w="0" w:type="dxa"/>
              <w:right w:w="0" w:type="dxa"/>
            </w:tcMar>
            <w:vAlign w:val="center"/>
          </w:tcPr>
          <w:p>
            <w:pPr>
              <w:pStyle w:val="TableContents"/>
              <w:bidi w:val="0"/>
              <w:spacing w:lineRule="auto" w:line="252" w:before="0" w:after="0"/>
              <w:jc w:val="left"/>
              <w:rPr>
                <w:rFonts w:ascii="Times New Roman;serif" w:hAnsi="Times New Roman;serif"/>
                <w:b w:val="false"/>
                <w:color w:val="000000"/>
                <w:sz w:val="20"/>
              </w:rPr>
            </w:pPr>
            <w:r>
              <w:rPr>
                <w:rFonts w:ascii="Times New Roman;serif" w:hAnsi="Times New Roman;serif"/>
                <w:b w:val="false"/>
                <w:color w:val="000000"/>
                <w:sz w:val="20"/>
              </w:rPr>
              <w:t>Commercial paper ($999 included in cash and cash equivalents)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serif" w:hAnsi="Times New Roman;serif"/>
                <w:b w:val="false"/>
                <w:color w:val="000000"/>
                <w:sz w:val="20"/>
              </w:rPr>
            </w:pPr>
            <w:r>
              <w:rPr>
                <w:rFonts w:ascii="Times New Roman;serif" w:hAnsi="Times New Roman;serif"/>
                <w:b w:val="false"/>
                <w:color w:val="000000"/>
                <w:sz w:val="20"/>
              </w:rPr>
              <w:t>7,140 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52"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serif" w:hAnsi="Times New Roman;serif"/>
                <w:b w:val="false"/>
                <w:color w:val="000000"/>
                <w:sz w:val="20"/>
              </w:rPr>
            </w:pPr>
            <w:r>
              <w:rPr>
                <w:rFonts w:ascii="Times New Roman;serif" w:hAnsi="Times New Roman;serif"/>
                <w:b w:val="false"/>
                <w:color w:val="000000"/>
                <w:sz w:val="20"/>
              </w:rPr>
              <w:t>7,140 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52" w:before="0" w:after="283"/>
              <w:jc w:val="right"/>
              <w:rPr>
                <w:color w:val="000000"/>
              </w:rPr>
            </w:pPr>
            <w:r>
              <w:rPr>
                <w:color w:val="000000"/>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23" w:type="dxa"/>
            <w:gridSpan w:val="3"/>
            <w:tcBorders/>
            <w:shd w:fill="CCEEFF" w:val="clear"/>
            <w:tcMar>
              <w:top w:w="0" w:type="dxa"/>
              <w:left w:w="0" w:type="dxa"/>
              <w:bottom w:w="0" w:type="dxa"/>
              <w:right w:w="0" w:type="dxa"/>
            </w:tcMar>
            <w:vAlign w:val="center"/>
          </w:tcPr>
          <w:p>
            <w:pPr>
              <w:pStyle w:val="TableContents"/>
              <w:bidi w:val="0"/>
              <w:spacing w:lineRule="auto" w:line="252" w:before="0" w:after="283"/>
              <w:jc w:val="left"/>
              <w:rPr>
                <w:rFonts w:ascii="Times New Roman;serif" w:hAnsi="Times New Roman;serif"/>
                <w:b w:val="false"/>
                <w:color w:val="000000"/>
                <w:sz w:val="20"/>
              </w:rPr>
            </w:pPr>
            <w:r>
              <w:rPr>
                <w:rFonts w:ascii="Times New Roman;serif" w:hAnsi="Times New Roman;serif"/>
                <w:b w:val="false"/>
                <w:color w:val="000000"/>
                <w:sz w:val="20"/>
              </w:rPr>
              <w:t>Total fair value of assets</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52"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52" w:before="0" w:after="283"/>
              <w:jc w:val="right"/>
              <w:rPr>
                <w:rFonts w:ascii="Times New Roman;serif" w:hAnsi="Times New Roman;serif"/>
                <w:b w:val="false"/>
                <w:color w:val="000000"/>
                <w:sz w:val="20"/>
              </w:rPr>
            </w:pPr>
            <w:r>
              <w:rPr>
                <w:rFonts w:ascii="Times New Roman;serif" w:hAnsi="Times New Roman;serif"/>
                <w:b w:val="false"/>
                <w:color w:val="000000"/>
                <w:sz w:val="20"/>
              </w:rPr>
              <w:t>142,845 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52"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52" w:before="0" w:after="283"/>
              <w:jc w:val="right"/>
              <w:rPr>
                <w:rFonts w:ascii="Times New Roman;serif" w:hAnsi="Times New Roman;serif"/>
                <w:b w:val="false"/>
                <w:color w:val="000000"/>
                <w:sz w:val="20"/>
              </w:rPr>
            </w:pPr>
            <w:r>
              <w:rPr>
                <w:rFonts w:ascii="Times New Roman;serif" w:hAnsi="Times New Roman;serif"/>
                <w:b w:val="false"/>
                <w:color w:val="000000"/>
                <w:sz w:val="20"/>
              </w:rPr>
              <w:t>98,325 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52"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52" w:before="0" w:after="283"/>
              <w:jc w:val="right"/>
              <w:rPr>
                <w:rFonts w:ascii="Times New Roman;serif" w:hAnsi="Times New Roman;serif"/>
                <w:b w:val="false"/>
                <w:color w:val="000000"/>
                <w:sz w:val="20"/>
              </w:rPr>
            </w:pPr>
            <w:r>
              <w:rPr>
                <w:rFonts w:ascii="Times New Roman;serif" w:hAnsi="Times New Roman;serif"/>
                <w:b w:val="false"/>
                <w:color w:val="000000"/>
                <w:sz w:val="20"/>
              </w:rPr>
              <w:t>44,520 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52"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0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52" w:before="0" w:after="283"/>
              <w:jc w:val="right"/>
              <w:rPr>
                <w:color w:val="000000"/>
              </w:rPr>
            </w:pPr>
            <w:r>
              <w:rPr>
                <w:color w:val="000000"/>
              </w:rPr>
              <w:t>— </w:t>
            </w:r>
          </w:p>
        </w:tc>
        <w:tc>
          <w:tcPr>
            <w:tcW w:w="1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146685"/>
                <wp:effectExtent l="0" t="0" r="0" b="0"/>
                <wp:wrapNone/>
                <wp:docPr id="9" name="Frame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7</w:t>
                      </w:r>
                    </w:p>
                  </w:txbxContent>
                </v:textbox>
                <w10:wrap type="none"/>
              </v:rect>
            </w:pict>
          </mc:Fallback>
        </mc:AlternateContent>
      </w:r>
    </w:p>
    <w:p>
      <w:pPr>
        <w:pStyle w:val="TextBody"/>
        <w:bidi w:val="0"/>
        <w:spacing w:lineRule="auto" w:line="288" w:before="0" w:after="0"/>
        <w:jc w:val="left"/>
        <w:rPr/>
      </w:pPr>
      <w:hyperlink w:anchor="i7f5619487a1149c59a3dd36fee75a584_7">
        <w:r>
          <w:rPr>
            <w:rStyle w:val="InternetLink"/>
            <w:rFonts w:ascii="Times New Roman;serif" w:hAnsi="Times New Roman;serif"/>
            <w:b w:val="false"/>
            <w:color w:val="0000FF"/>
            <w:sz w:val="20"/>
            <w:u w:val="single"/>
          </w:rPr>
          <w:t>Table of Contents</w:t>
        </w:r>
      </w:hyperlink>
    </w:p>
    <w:p>
      <w:pPr>
        <w:pStyle w:val="TextBody"/>
        <w:bidi w:val="0"/>
        <w:spacing w:lineRule="auto" w:line="288" w:before="20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The fair value and amortized cost of cash equivalents and available-for-sale marketable securities by major security type as of March 31, 2026, and December 31, 2025, are presented in the following tables (in thousands): </w:t>
      </w:r>
    </w:p>
    <w:tbl>
      <w:tblPr>
        <w:tblW w:w="10205" w:type="dxa"/>
        <w:jc w:val="left"/>
        <w:tblInd w:w="0" w:type="dxa"/>
        <w:tblLayout w:type="fixed"/>
        <w:tblCellMar>
          <w:top w:w="28" w:type="dxa"/>
          <w:left w:w="28" w:type="dxa"/>
          <w:bottom w:w="28" w:type="dxa"/>
          <w:right w:w="28" w:type="dxa"/>
        </w:tblCellMar>
      </w:tblPr>
      <w:tblGrid>
        <w:gridCol w:w="1884"/>
        <w:gridCol w:w="1611"/>
        <w:gridCol w:w="1618"/>
        <w:gridCol w:w="211"/>
        <w:gridCol w:w="826"/>
        <w:gridCol w:w="109"/>
        <w:gridCol w:w="109"/>
        <w:gridCol w:w="109"/>
        <w:gridCol w:w="109"/>
        <w:gridCol w:w="274"/>
        <w:gridCol w:w="469"/>
        <w:gridCol w:w="143"/>
        <w:gridCol w:w="109"/>
        <w:gridCol w:w="109"/>
        <w:gridCol w:w="109"/>
        <w:gridCol w:w="268"/>
        <w:gridCol w:w="478"/>
        <w:gridCol w:w="140"/>
        <w:gridCol w:w="109"/>
        <w:gridCol w:w="109"/>
        <w:gridCol w:w="109"/>
        <w:gridCol w:w="211"/>
        <w:gridCol w:w="826"/>
        <w:gridCol w:w="156"/>
      </w:tblGrid>
      <w:tr>
        <w:trPr/>
        <w:tc>
          <w:tcPr>
            <w:tcW w:w="1884" w:type="dxa"/>
            <w:tcBorders/>
            <w:vAlign w:val="center"/>
          </w:tcPr>
          <w:p>
            <w:pPr>
              <w:pStyle w:val="TableContents"/>
              <w:bidi w:val="0"/>
              <w:spacing w:before="0" w:after="283"/>
              <w:jc w:val="left"/>
              <w:rPr>
                <w:sz w:val="4"/>
                <w:szCs w:val="4"/>
              </w:rPr>
            </w:pPr>
            <w:r>
              <w:rPr>
                <w:sz w:val="4"/>
                <w:szCs w:val="4"/>
              </w:rPr>
            </w:r>
          </w:p>
        </w:tc>
        <w:tc>
          <w:tcPr>
            <w:tcW w:w="1611" w:type="dxa"/>
            <w:tcBorders/>
            <w:vAlign w:val="center"/>
          </w:tcPr>
          <w:p>
            <w:pPr>
              <w:pStyle w:val="TableContents"/>
              <w:bidi w:val="0"/>
              <w:spacing w:before="0" w:after="283"/>
              <w:jc w:val="left"/>
              <w:rPr>
                <w:sz w:val="4"/>
                <w:szCs w:val="4"/>
              </w:rPr>
            </w:pPr>
            <w:r>
              <w:rPr>
                <w:sz w:val="4"/>
                <w:szCs w:val="4"/>
              </w:rPr>
            </w:r>
          </w:p>
        </w:tc>
        <w:tc>
          <w:tcPr>
            <w:tcW w:w="1618"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469" w:type="dxa"/>
            <w:tcBorders/>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478"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5113" w:type="dxa"/>
            <w:gridSpan w:val="3"/>
            <w:tcBorders/>
            <w:tcMar>
              <w:top w:w="0" w:type="dxa"/>
              <w:left w:w="0" w:type="dxa"/>
              <w:bottom w:w="0" w:type="dxa"/>
              <w:right w:w="0" w:type="dxa"/>
            </w:tcMar>
            <w:vAlign w:val="center"/>
          </w:tcPr>
          <w:p>
            <w:pPr>
              <w:pStyle w:val="TableContents"/>
              <w:bidi w:val="0"/>
              <w:spacing w:lineRule="auto" w:line="252" w:before="0" w:after="283"/>
              <w:jc w:val="center"/>
              <w:rPr>
                <w:color w:val="000000"/>
              </w:rPr>
            </w:pPr>
            <w:r>
              <w:rPr>
                <w:color w:val="000000"/>
              </w:rPr>
              <w:t> </w:t>
            </w:r>
          </w:p>
        </w:tc>
        <w:tc>
          <w:tcPr>
            <w:tcW w:w="5092" w:type="dxa"/>
            <w:gridSpan w:val="21"/>
            <w:tcBorders/>
            <w:tcMar>
              <w:top w:w="0" w:type="dxa"/>
              <w:left w:w="0" w:type="dxa"/>
              <w:bottom w:w="0" w:type="dxa"/>
              <w:right w:w="0" w:type="dxa"/>
            </w:tcMar>
            <w:vAlign w:val="center"/>
          </w:tcPr>
          <w:p>
            <w:pPr>
              <w:pStyle w:val="TableContents"/>
              <w:bidi w:val="0"/>
              <w:spacing w:lineRule="auto" w:line="252" w:before="0" w:after="283"/>
              <w:jc w:val="center"/>
              <w:rPr>
                <w:rFonts w:ascii="Times New Roman;serif" w:hAnsi="Times New Roman;serif"/>
                <w:b/>
                <w:color w:val="000000"/>
                <w:sz w:val="16"/>
              </w:rPr>
            </w:pPr>
            <w:r>
              <w:rPr>
                <w:rFonts w:ascii="Times New Roman;serif" w:hAnsi="Times New Roman;serif"/>
                <w:b/>
                <w:color w:val="000000"/>
                <w:sz w:val="16"/>
              </w:rPr>
              <w:t>As of March 31, 2026</w:t>
            </w:r>
          </w:p>
        </w:tc>
      </w:tr>
      <w:tr>
        <w:trPr/>
        <w:tc>
          <w:tcPr>
            <w:tcW w:w="5113" w:type="dxa"/>
            <w:gridSpan w:val="3"/>
            <w:tcBorders/>
            <w:tcMar>
              <w:top w:w="0" w:type="dxa"/>
              <w:left w:w="0" w:type="dxa"/>
              <w:bottom w:w="0" w:type="dxa"/>
              <w:right w:w="0" w:type="dxa"/>
            </w:tcMar>
            <w:vAlign w:val="center"/>
          </w:tcPr>
          <w:p>
            <w:pPr>
              <w:pStyle w:val="TableContents"/>
              <w:bidi w:val="0"/>
              <w:spacing w:lineRule="auto" w:line="252" w:before="0" w:after="283"/>
              <w:jc w:val="center"/>
              <w:rPr>
                <w:color w:val="000000"/>
              </w:rPr>
            </w:pPr>
            <w:r>
              <w:rPr>
                <w:color w:val="000000"/>
              </w:rPr>
              <w:t> </w:t>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52" w:before="0" w:after="0"/>
              <w:jc w:val="center"/>
              <w:rPr>
                <w:rFonts w:ascii="Times New Roman;serif" w:hAnsi="Times New Roman;serif"/>
                <w:b/>
                <w:color w:val="000000"/>
                <w:sz w:val="16"/>
              </w:rPr>
            </w:pPr>
            <w:r>
              <w:rPr>
                <w:rFonts w:ascii="Times New Roman;serif" w:hAnsi="Times New Roman;serif"/>
                <w:b/>
                <w:color w:val="000000"/>
                <w:sz w:val="16"/>
              </w:rPr>
              <w:t>Amortized</w:t>
            </w:r>
          </w:p>
          <w:p>
            <w:pPr>
              <w:pStyle w:val="TableContents"/>
              <w:bidi w:val="0"/>
              <w:spacing w:lineRule="auto" w:line="252" w:before="0" w:after="0"/>
              <w:jc w:val="center"/>
              <w:rPr>
                <w:rFonts w:ascii="Times New Roman;serif" w:hAnsi="Times New Roman;serif"/>
                <w:b/>
                <w:color w:val="000000"/>
                <w:sz w:val="16"/>
              </w:rPr>
            </w:pPr>
            <w:r>
              <w:rPr>
                <w:rFonts w:ascii="Times New Roman;serif" w:hAnsi="Times New Roman;serif"/>
                <w:b/>
                <w:color w:val="000000"/>
                <w:sz w:val="16"/>
              </w:rPr>
              <w:t>Cost Basis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52" w:before="0" w:after="0"/>
              <w:jc w:val="center"/>
              <w:rPr>
                <w:rFonts w:ascii="Times New Roman;serif" w:hAnsi="Times New Roman;serif"/>
                <w:b/>
                <w:color w:val="000000"/>
                <w:sz w:val="16"/>
              </w:rPr>
            </w:pPr>
            <w:r>
              <w:rPr>
                <w:rFonts w:ascii="Times New Roman;serif" w:hAnsi="Times New Roman;serif"/>
                <w:b/>
                <w:color w:val="000000"/>
                <w:sz w:val="16"/>
              </w:rPr>
              <w:t>Unrealized</w:t>
            </w:r>
          </w:p>
          <w:p>
            <w:pPr>
              <w:pStyle w:val="TableContents"/>
              <w:bidi w:val="0"/>
              <w:spacing w:lineRule="auto" w:line="252" w:before="0" w:after="0"/>
              <w:jc w:val="center"/>
              <w:rPr>
                <w:rFonts w:ascii="Times New Roman;serif" w:hAnsi="Times New Roman;serif"/>
                <w:b/>
                <w:color w:val="000000"/>
                <w:sz w:val="16"/>
              </w:rPr>
            </w:pPr>
            <w:r>
              <w:rPr>
                <w:rFonts w:ascii="Times New Roman;serif" w:hAnsi="Times New Roman;serif"/>
                <w:b/>
                <w:color w:val="000000"/>
                <w:sz w:val="16"/>
              </w:rPr>
              <w:t>Gains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52" w:before="0" w:after="0"/>
              <w:jc w:val="center"/>
              <w:rPr>
                <w:rFonts w:ascii="Times New Roman;serif" w:hAnsi="Times New Roman;serif"/>
                <w:b/>
                <w:color w:val="000000"/>
                <w:sz w:val="16"/>
              </w:rPr>
            </w:pPr>
            <w:r>
              <w:rPr>
                <w:rFonts w:ascii="Times New Roman;serif" w:hAnsi="Times New Roman;serif"/>
                <w:b/>
                <w:color w:val="000000"/>
                <w:sz w:val="16"/>
              </w:rPr>
              <w:t>Unrealized</w:t>
            </w:r>
          </w:p>
          <w:p>
            <w:pPr>
              <w:pStyle w:val="TableContents"/>
              <w:bidi w:val="0"/>
              <w:spacing w:lineRule="auto" w:line="252" w:before="0" w:after="0"/>
              <w:jc w:val="center"/>
              <w:rPr>
                <w:rFonts w:ascii="Times New Roman;serif" w:hAnsi="Times New Roman;serif"/>
                <w:b/>
                <w:color w:val="000000"/>
                <w:sz w:val="16"/>
              </w:rPr>
            </w:pPr>
            <w:r>
              <w:rPr>
                <w:rFonts w:ascii="Times New Roman;serif" w:hAnsi="Times New Roman;serif"/>
                <w:b/>
                <w:color w:val="000000"/>
                <w:sz w:val="16"/>
              </w:rPr>
              <w:t xml:space="preserve">Losses </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52" w:before="0" w:after="0"/>
              <w:jc w:val="center"/>
              <w:rPr>
                <w:rFonts w:ascii="Times New Roman;serif" w:hAnsi="Times New Roman;serif"/>
                <w:b/>
                <w:color w:val="000000"/>
                <w:sz w:val="16"/>
              </w:rPr>
            </w:pPr>
            <w:r>
              <w:rPr>
                <w:rFonts w:ascii="Times New Roman;serif" w:hAnsi="Times New Roman;serif"/>
                <w:b/>
                <w:color w:val="000000"/>
                <w:sz w:val="16"/>
              </w:rPr>
              <w:t>Estimated</w:t>
            </w:r>
          </w:p>
          <w:p>
            <w:pPr>
              <w:pStyle w:val="TableContents"/>
              <w:bidi w:val="0"/>
              <w:spacing w:lineRule="auto" w:line="252" w:before="0" w:after="0"/>
              <w:jc w:val="center"/>
              <w:rPr>
                <w:rFonts w:ascii="Times New Roman;serif" w:hAnsi="Times New Roman;serif"/>
                <w:b/>
                <w:color w:val="000000"/>
                <w:sz w:val="16"/>
              </w:rPr>
            </w:pPr>
            <w:r>
              <w:rPr>
                <w:rFonts w:ascii="Times New Roman;serif" w:hAnsi="Times New Roman;serif"/>
                <w:b/>
                <w:color w:val="000000"/>
                <w:sz w:val="16"/>
              </w:rPr>
              <w:t>Fair Value</w:t>
            </w:r>
          </w:p>
        </w:tc>
      </w:tr>
      <w:tr>
        <w:trPr/>
        <w:tc>
          <w:tcPr>
            <w:tcW w:w="5113" w:type="dxa"/>
            <w:gridSpan w:val="3"/>
            <w:tcBorders/>
            <w:shd w:fill="CCEEFF" w:val="clear"/>
            <w:tcMar>
              <w:top w:w="0" w:type="dxa"/>
              <w:left w:w="0" w:type="dxa"/>
              <w:bottom w:w="0" w:type="dxa"/>
              <w:right w:w="0" w:type="dxa"/>
            </w:tcMar>
            <w:vAlign w:val="center"/>
          </w:tcPr>
          <w:p>
            <w:pPr>
              <w:pStyle w:val="TableContents"/>
              <w:bidi w:val="0"/>
              <w:spacing w:lineRule="auto" w:line="252" w:before="0" w:after="283"/>
              <w:jc w:val="left"/>
              <w:rPr>
                <w:rFonts w:ascii="Times New Roman;serif" w:hAnsi="Times New Roman;serif"/>
                <w:b w:val="false"/>
                <w:color w:val="000000"/>
                <w:sz w:val="20"/>
              </w:rPr>
            </w:pPr>
            <w:r>
              <w:rPr>
                <w:rFonts w:ascii="Times New Roman;serif" w:hAnsi="Times New Roman;serif"/>
                <w:b w:val="false"/>
                <w:color w:val="000000"/>
                <w:sz w:val="20"/>
              </w:rPr>
              <w:t>U.S. Treasury bills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52"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52" w:before="0" w:after="283"/>
              <w:jc w:val="right"/>
              <w:rPr>
                <w:rFonts w:ascii="Times New Roman;serif" w:hAnsi="Times New Roman;serif"/>
                <w:b w:val="false"/>
                <w:color w:val="000000"/>
                <w:sz w:val="20"/>
              </w:rPr>
            </w:pPr>
            <w:r>
              <w:rPr>
                <w:rFonts w:ascii="Times New Roman;serif" w:hAnsi="Times New Roman;serif"/>
                <w:b w:val="false"/>
                <w:color w:val="000000"/>
                <w:sz w:val="20"/>
              </w:rPr>
              <w:t>63,404 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52"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52" w:before="0" w:after="283"/>
              <w:jc w:val="right"/>
              <w:rPr>
                <w:rFonts w:ascii="Times New Roman;serif" w:hAnsi="Times New Roman;serif"/>
                <w:b w:val="false"/>
                <w:color w:val="000000"/>
                <w:sz w:val="20"/>
              </w:rPr>
            </w:pPr>
            <w:r>
              <w:rPr>
                <w:rFonts w:ascii="Times New Roman;serif" w:hAnsi="Times New Roman;serif"/>
                <w:b w:val="false"/>
                <w:color w:val="000000"/>
                <w:sz w:val="20"/>
              </w:rPr>
              <w:t>18 </w:t>
            </w:r>
          </w:p>
        </w:tc>
        <w:tc>
          <w:tcPr>
            <w:tcW w:w="14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52"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7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52" w:before="0" w:after="283"/>
              <w:jc w:val="right"/>
              <w:rPr>
                <w:rFonts w:ascii="Times New Roman;serif" w:hAnsi="Times New Roman;serif"/>
                <w:b w:val="false"/>
                <w:color w:val="000000"/>
                <w:sz w:val="20"/>
              </w:rPr>
            </w:pPr>
            <w:r>
              <w:rPr>
                <w:rFonts w:ascii="Times New Roman;serif" w:hAnsi="Times New Roman;serif"/>
                <w:b w:val="false"/>
                <w:color w:val="000000"/>
                <w:sz w:val="20"/>
              </w:rPr>
              <w:t>(17)</w:t>
            </w:r>
          </w:p>
        </w:tc>
        <w:tc>
          <w:tcPr>
            <w:tcW w:w="14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52"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52" w:before="0" w:after="283"/>
              <w:jc w:val="right"/>
              <w:rPr>
                <w:rFonts w:ascii="Times New Roman;serif" w:hAnsi="Times New Roman;serif"/>
                <w:b w:val="false"/>
                <w:color w:val="000000"/>
                <w:sz w:val="20"/>
              </w:rPr>
            </w:pPr>
            <w:r>
              <w:rPr>
                <w:rFonts w:ascii="Times New Roman;serif" w:hAnsi="Times New Roman;serif"/>
                <w:b w:val="false"/>
                <w:color w:val="000000"/>
                <w:sz w:val="20"/>
              </w:rPr>
              <w:t>63,405 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13" w:type="dxa"/>
            <w:gridSpan w:val="3"/>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serif" w:hAnsi="Times New Roman;serif"/>
                <w:b w:val="false"/>
                <w:color w:val="000000"/>
                <w:sz w:val="20"/>
              </w:rPr>
            </w:pPr>
            <w:r>
              <w:rPr>
                <w:rFonts w:ascii="Times New Roman;serif" w:hAnsi="Times New Roman;serif"/>
                <w:b w:val="false"/>
                <w:color w:val="000000"/>
                <w:sz w:val="20"/>
              </w:rPr>
              <w:t>U.S. government agency bonds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serif" w:hAnsi="Times New Roman;serif"/>
                <w:b w:val="false"/>
                <w:color w:val="000000"/>
                <w:sz w:val="20"/>
              </w:rPr>
            </w:pPr>
            <w:r>
              <w:rPr>
                <w:rFonts w:ascii="Times New Roman;serif" w:hAnsi="Times New Roman;serif"/>
                <w:b w:val="false"/>
                <w:color w:val="000000"/>
                <w:sz w:val="20"/>
              </w:rPr>
              <w:t>28,512 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3" w:type="dxa"/>
            <w:gridSpan w:val="2"/>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1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6" w:type="dxa"/>
            <w:gridSpan w:val="2"/>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serif" w:hAnsi="Times New Roman;serif"/>
                <w:b w:val="false"/>
                <w:color w:val="000000"/>
                <w:sz w:val="20"/>
              </w:rPr>
            </w:pPr>
            <w:r>
              <w:rPr>
                <w:rFonts w:ascii="Times New Roman;serif" w:hAnsi="Times New Roman;serif"/>
                <w:b w:val="false"/>
                <w:color w:val="000000"/>
                <w:sz w:val="20"/>
              </w:rPr>
              <w:t>(15)</w:t>
            </w:r>
          </w:p>
        </w:tc>
        <w:tc>
          <w:tcPr>
            <w:tcW w:w="1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serif" w:hAnsi="Times New Roman;serif"/>
                <w:b w:val="false"/>
                <w:color w:val="000000"/>
                <w:sz w:val="20"/>
              </w:rPr>
            </w:pPr>
            <w:r>
              <w:rPr>
                <w:rFonts w:ascii="Times New Roman;serif" w:hAnsi="Times New Roman;serif"/>
                <w:b w:val="false"/>
                <w:color w:val="000000"/>
                <w:sz w:val="20"/>
              </w:rPr>
              <w:t>28,498 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13" w:type="dxa"/>
            <w:gridSpan w:val="3"/>
            <w:tcBorders/>
            <w:shd w:fill="CCEEFF" w:val="clear"/>
            <w:tcMar>
              <w:top w:w="0" w:type="dxa"/>
              <w:left w:w="0" w:type="dxa"/>
              <w:bottom w:w="0" w:type="dxa"/>
              <w:right w:w="0" w:type="dxa"/>
            </w:tcMar>
            <w:vAlign w:val="center"/>
          </w:tcPr>
          <w:p>
            <w:pPr>
              <w:pStyle w:val="TableContents"/>
              <w:bidi w:val="0"/>
              <w:spacing w:lineRule="auto" w:line="252" w:before="0" w:after="0"/>
              <w:jc w:val="left"/>
              <w:rPr>
                <w:rFonts w:ascii="Times New Roman;serif" w:hAnsi="Times New Roman;serif"/>
                <w:b w:val="false"/>
                <w:color w:val="000000"/>
                <w:sz w:val="20"/>
              </w:rPr>
            </w:pPr>
            <w:r>
              <w:rPr>
                <w:rFonts w:ascii="Times New Roman;serif" w:hAnsi="Times New Roman;serif"/>
                <w:b w:val="false"/>
                <w:color w:val="000000"/>
                <w:sz w:val="20"/>
              </w:rPr>
              <w:t>Money market fund investments (included in cash and cash equivalents)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52" w:before="0" w:after="283"/>
              <w:jc w:val="right"/>
              <w:rPr>
                <w:rFonts w:ascii="Times New Roman;serif" w:hAnsi="Times New Roman;serif"/>
                <w:b w:val="false"/>
                <w:color w:val="000000"/>
                <w:sz w:val="20"/>
              </w:rPr>
            </w:pPr>
            <w:r>
              <w:rPr>
                <w:rFonts w:ascii="Times New Roman;serif" w:hAnsi="Times New Roman;serif"/>
                <w:b w:val="false"/>
                <w:color w:val="000000"/>
                <w:sz w:val="20"/>
              </w:rPr>
              <w:t>12,057 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3" w:type="dxa"/>
            <w:gridSpan w:val="2"/>
            <w:tcBorders/>
            <w:shd w:fill="CCEEFF" w:val="clear"/>
            <w:tcMar>
              <w:top w:w="0" w:type="dxa"/>
              <w:left w:w="0" w:type="dxa"/>
              <w:bottom w:w="0" w:type="dxa"/>
              <w:right w:w="0" w:type="dxa"/>
            </w:tcMar>
            <w:vAlign w:val="center"/>
          </w:tcPr>
          <w:p>
            <w:pPr>
              <w:pStyle w:val="TableContents"/>
              <w:bidi w:val="0"/>
              <w:spacing w:lineRule="auto" w:line="252" w:before="0" w:after="283"/>
              <w:jc w:val="right"/>
              <w:rPr>
                <w:color w:val="000000"/>
              </w:rPr>
            </w:pPr>
            <w:r>
              <w:rPr>
                <w:color w:val="000000"/>
              </w:rPr>
              <w:t>— </w:t>
            </w:r>
          </w:p>
        </w:tc>
        <w:tc>
          <w:tcPr>
            <w:tcW w:w="1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6" w:type="dxa"/>
            <w:gridSpan w:val="2"/>
            <w:tcBorders/>
            <w:shd w:fill="CCEEFF" w:val="clear"/>
            <w:tcMar>
              <w:top w:w="0" w:type="dxa"/>
              <w:left w:w="0" w:type="dxa"/>
              <w:bottom w:w="0" w:type="dxa"/>
              <w:right w:w="0" w:type="dxa"/>
            </w:tcMar>
            <w:vAlign w:val="center"/>
          </w:tcPr>
          <w:p>
            <w:pPr>
              <w:pStyle w:val="TableContents"/>
              <w:bidi w:val="0"/>
              <w:spacing w:lineRule="auto" w:line="252" w:before="0" w:after="283"/>
              <w:jc w:val="right"/>
              <w:rPr>
                <w:color w:val="000000"/>
              </w:rPr>
            </w:pPr>
            <w:r>
              <w:rPr>
                <w:color w:val="000000"/>
              </w:rPr>
              <w:t>— </w:t>
            </w:r>
          </w:p>
        </w:tc>
        <w:tc>
          <w:tcPr>
            <w:tcW w:w="1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52" w:before="0" w:after="283"/>
              <w:jc w:val="right"/>
              <w:rPr>
                <w:rFonts w:ascii="Times New Roman;serif" w:hAnsi="Times New Roman;serif"/>
                <w:b w:val="false"/>
                <w:color w:val="000000"/>
                <w:sz w:val="20"/>
              </w:rPr>
            </w:pPr>
            <w:r>
              <w:rPr>
                <w:rFonts w:ascii="Times New Roman;serif" w:hAnsi="Times New Roman;serif"/>
                <w:b w:val="false"/>
                <w:color w:val="000000"/>
                <w:sz w:val="20"/>
              </w:rPr>
              <w:t>12,057 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13" w:type="dxa"/>
            <w:gridSpan w:val="3"/>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serif" w:hAnsi="Times New Roman;serif"/>
                <w:b w:val="false"/>
                <w:color w:val="000000"/>
                <w:sz w:val="20"/>
              </w:rPr>
            </w:pPr>
            <w:r>
              <w:rPr>
                <w:rFonts w:ascii="Times New Roman;serif" w:hAnsi="Times New Roman;serif"/>
                <w:b w:val="false"/>
                <w:color w:val="000000"/>
                <w:sz w:val="20"/>
              </w:rPr>
              <w:t>Corporate debt securities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serif" w:hAnsi="Times New Roman;serif"/>
                <w:b w:val="false"/>
                <w:color w:val="000000"/>
                <w:sz w:val="20"/>
              </w:rPr>
            </w:pPr>
            <w:r>
              <w:rPr>
                <w:rFonts w:ascii="Times New Roman;serif" w:hAnsi="Times New Roman;serif"/>
                <w:b w:val="false"/>
                <w:color w:val="000000"/>
                <w:sz w:val="20"/>
              </w:rPr>
              <w:t>7,695 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3" w:type="dxa"/>
            <w:gridSpan w:val="2"/>
            <w:tcBorders/>
            <w:shd w:fill="FFFFFF" w:val="clear"/>
            <w:tcMar>
              <w:top w:w="0" w:type="dxa"/>
              <w:left w:w="0" w:type="dxa"/>
              <w:bottom w:w="0" w:type="dxa"/>
              <w:right w:w="0" w:type="dxa"/>
            </w:tcMar>
            <w:vAlign w:val="center"/>
          </w:tcPr>
          <w:p>
            <w:pPr>
              <w:pStyle w:val="TableContents"/>
              <w:bidi w:val="0"/>
              <w:spacing w:lineRule="auto" w:line="252" w:before="0" w:after="283"/>
              <w:jc w:val="right"/>
              <w:rPr>
                <w:color w:val="000000"/>
              </w:rPr>
            </w:pPr>
            <w:r>
              <w:rPr>
                <w:color w:val="000000"/>
              </w:rPr>
              <w:t>— </w:t>
            </w:r>
          </w:p>
        </w:tc>
        <w:tc>
          <w:tcPr>
            <w:tcW w:w="1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6" w:type="dxa"/>
            <w:gridSpan w:val="2"/>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serif" w:hAnsi="Times New Roman;serif"/>
                <w:b w:val="false"/>
                <w:color w:val="000000"/>
                <w:sz w:val="20"/>
              </w:rPr>
            </w:pPr>
            <w:r>
              <w:rPr>
                <w:rFonts w:ascii="Times New Roman;serif" w:hAnsi="Times New Roman;serif"/>
                <w:b w:val="false"/>
                <w:color w:val="000000"/>
                <w:sz w:val="20"/>
              </w:rPr>
              <w:t>(10)</w:t>
            </w:r>
          </w:p>
        </w:tc>
        <w:tc>
          <w:tcPr>
            <w:tcW w:w="1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serif" w:hAnsi="Times New Roman;serif"/>
                <w:b w:val="false"/>
                <w:color w:val="000000"/>
                <w:sz w:val="20"/>
              </w:rPr>
            </w:pPr>
            <w:r>
              <w:rPr>
                <w:rFonts w:ascii="Times New Roman;serif" w:hAnsi="Times New Roman;serif"/>
                <w:b w:val="false"/>
                <w:color w:val="000000"/>
                <w:sz w:val="20"/>
              </w:rPr>
              <w:t>7,685 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13" w:type="dxa"/>
            <w:gridSpan w:val="3"/>
            <w:tcBorders/>
            <w:shd w:fill="CCEEFF" w:val="clear"/>
            <w:tcMar>
              <w:top w:w="0" w:type="dxa"/>
              <w:left w:w="0" w:type="dxa"/>
              <w:bottom w:w="0" w:type="dxa"/>
              <w:right w:w="0" w:type="dxa"/>
            </w:tcMar>
            <w:vAlign w:val="center"/>
          </w:tcPr>
          <w:p>
            <w:pPr>
              <w:pStyle w:val="TableContents"/>
              <w:bidi w:val="0"/>
              <w:spacing w:lineRule="auto" w:line="252" w:before="0" w:after="283"/>
              <w:jc w:val="left"/>
              <w:rPr>
                <w:rFonts w:ascii="Times New Roman;serif" w:hAnsi="Times New Roman;serif"/>
                <w:b w:val="false"/>
                <w:color w:val="000000"/>
                <w:sz w:val="20"/>
              </w:rPr>
            </w:pPr>
            <w:r>
              <w:rPr>
                <w:rFonts w:ascii="Times New Roman;serif" w:hAnsi="Times New Roman;serif"/>
                <w:b w:val="false"/>
                <w:color w:val="000000"/>
                <w:sz w:val="20"/>
              </w:rPr>
              <w:t>Commercial paper</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52" w:before="0" w:after="283"/>
              <w:jc w:val="right"/>
              <w:rPr>
                <w:rFonts w:ascii="Times New Roman;serif" w:hAnsi="Times New Roman;serif"/>
                <w:b w:val="false"/>
                <w:color w:val="000000"/>
                <w:sz w:val="20"/>
              </w:rPr>
            </w:pPr>
            <w:r>
              <w:rPr>
                <w:rFonts w:ascii="Times New Roman;serif" w:hAnsi="Times New Roman;serif"/>
                <w:b w:val="false"/>
                <w:color w:val="000000"/>
                <w:sz w:val="20"/>
              </w:rPr>
              <w:t>6,983 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3" w:type="dxa"/>
            <w:gridSpan w:val="2"/>
            <w:tcBorders/>
            <w:shd w:fill="CCEEFF" w:val="clear"/>
            <w:tcMar>
              <w:top w:w="0" w:type="dxa"/>
              <w:left w:w="0" w:type="dxa"/>
              <w:bottom w:w="0" w:type="dxa"/>
              <w:right w:w="0" w:type="dxa"/>
            </w:tcMar>
            <w:vAlign w:val="center"/>
          </w:tcPr>
          <w:p>
            <w:pPr>
              <w:pStyle w:val="TableContents"/>
              <w:bidi w:val="0"/>
              <w:spacing w:lineRule="auto" w:line="252" w:before="0" w:after="283"/>
              <w:jc w:val="right"/>
              <w:rPr>
                <w:color w:val="000000"/>
              </w:rPr>
            </w:pPr>
            <w:r>
              <w:rPr>
                <w:color w:val="000000"/>
              </w:rPr>
              <w:t>— </w:t>
            </w:r>
          </w:p>
        </w:tc>
        <w:tc>
          <w:tcPr>
            <w:tcW w:w="1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6" w:type="dxa"/>
            <w:gridSpan w:val="2"/>
            <w:tcBorders/>
            <w:shd w:fill="CCEEFF" w:val="clear"/>
            <w:tcMar>
              <w:top w:w="0" w:type="dxa"/>
              <w:left w:w="0" w:type="dxa"/>
              <w:bottom w:w="0" w:type="dxa"/>
              <w:right w:w="0" w:type="dxa"/>
            </w:tcMar>
            <w:vAlign w:val="center"/>
          </w:tcPr>
          <w:p>
            <w:pPr>
              <w:pStyle w:val="TableContents"/>
              <w:bidi w:val="0"/>
              <w:spacing w:lineRule="auto" w:line="252" w:before="0" w:after="283"/>
              <w:jc w:val="right"/>
              <w:rPr>
                <w:rFonts w:ascii="Times New Roman;serif" w:hAnsi="Times New Roman;serif"/>
                <w:b w:val="false"/>
                <w:color w:val="000000"/>
                <w:sz w:val="20"/>
              </w:rPr>
            </w:pPr>
            <w:r>
              <w:rPr>
                <w:rFonts w:ascii="Times New Roman;serif" w:hAnsi="Times New Roman;serif"/>
                <w:b w:val="false"/>
                <w:color w:val="000000"/>
                <w:sz w:val="20"/>
              </w:rPr>
              <w:t>(1)</w:t>
            </w:r>
          </w:p>
        </w:tc>
        <w:tc>
          <w:tcPr>
            <w:tcW w:w="1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52" w:before="0" w:after="283"/>
              <w:jc w:val="right"/>
              <w:rPr>
                <w:rFonts w:ascii="Times New Roman;serif" w:hAnsi="Times New Roman;serif"/>
                <w:b w:val="false"/>
                <w:color w:val="000000"/>
                <w:sz w:val="20"/>
              </w:rPr>
            </w:pPr>
            <w:r>
              <w:rPr>
                <w:rFonts w:ascii="Times New Roman;serif" w:hAnsi="Times New Roman;serif"/>
                <w:b w:val="false"/>
                <w:color w:val="000000"/>
                <w:sz w:val="20"/>
              </w:rPr>
              <w:t>6,982 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13" w:type="dxa"/>
            <w:gridSpan w:val="3"/>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serif" w:hAnsi="Times New Roman;serif"/>
                <w:b w:val="false"/>
                <w:color w:val="000000"/>
                <w:sz w:val="20"/>
              </w:rPr>
            </w:pPr>
            <w:r>
              <w:rPr>
                <w:rFonts w:ascii="Times New Roman;serif" w:hAnsi="Times New Roman;serif"/>
                <w:b w:val="false"/>
                <w:color w:val="000000"/>
                <w:sz w:val="20"/>
              </w:rPr>
              <w:t>Total cash equivalents and marketable securities</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52"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52" w:before="0" w:after="283"/>
              <w:jc w:val="right"/>
              <w:rPr>
                <w:rFonts w:ascii="Times New Roman;serif" w:hAnsi="Times New Roman;serif"/>
                <w:b w:val="false"/>
                <w:color w:val="000000"/>
                <w:sz w:val="20"/>
              </w:rPr>
            </w:pPr>
            <w:r>
              <w:rPr>
                <w:rFonts w:ascii="Times New Roman;serif" w:hAnsi="Times New Roman;serif"/>
                <w:b w:val="false"/>
                <w:color w:val="000000"/>
                <w:sz w:val="20"/>
              </w:rPr>
              <w:t>118,651 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52"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52" w:before="0" w:after="283"/>
              <w:jc w:val="right"/>
              <w:rPr>
                <w:rFonts w:ascii="Times New Roman;serif" w:hAnsi="Times New Roman;serif"/>
                <w:b w:val="false"/>
                <w:color w:val="000000"/>
                <w:sz w:val="20"/>
              </w:rPr>
            </w:pPr>
            <w:r>
              <w:rPr>
                <w:rFonts w:ascii="Times New Roman;serif" w:hAnsi="Times New Roman;serif"/>
                <w:b w:val="false"/>
                <w:color w:val="000000"/>
                <w:sz w:val="20"/>
              </w:rPr>
              <w:t>19 </w:t>
            </w:r>
          </w:p>
        </w:tc>
        <w:tc>
          <w:tcPr>
            <w:tcW w:w="14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52"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7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52" w:before="0" w:after="283"/>
              <w:jc w:val="right"/>
              <w:rPr>
                <w:rFonts w:ascii="Times New Roman;serif" w:hAnsi="Times New Roman;serif"/>
                <w:b w:val="false"/>
                <w:color w:val="000000"/>
                <w:sz w:val="20"/>
              </w:rPr>
            </w:pPr>
            <w:r>
              <w:rPr>
                <w:rFonts w:ascii="Times New Roman;serif" w:hAnsi="Times New Roman;serif"/>
                <w:b w:val="false"/>
                <w:color w:val="000000"/>
                <w:sz w:val="20"/>
              </w:rPr>
              <w:t>(43)</w:t>
            </w:r>
          </w:p>
        </w:tc>
        <w:tc>
          <w:tcPr>
            <w:tcW w:w="14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52"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52" w:before="0" w:after="283"/>
              <w:jc w:val="right"/>
              <w:rPr>
                <w:rFonts w:ascii="Times New Roman;serif" w:hAnsi="Times New Roman;serif"/>
                <w:b w:val="false"/>
                <w:color w:val="000000"/>
                <w:sz w:val="20"/>
              </w:rPr>
            </w:pPr>
            <w:r>
              <w:rPr>
                <w:rFonts w:ascii="Times New Roman;serif" w:hAnsi="Times New Roman;serif"/>
                <w:b w:val="false"/>
                <w:color w:val="000000"/>
                <w:sz w:val="20"/>
              </w:rPr>
              <w:t>118,627 </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1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13" w:type="dxa"/>
            <w:gridSpan w:val="3"/>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serif" w:hAnsi="Times New Roman;serif"/>
                <w:b w:val="false"/>
                <w:color w:val="000000"/>
                <w:sz w:val="20"/>
              </w:rPr>
            </w:pPr>
            <w:r>
              <w:rPr>
                <w:rFonts w:ascii="Times New Roman;serif" w:hAnsi="Times New Roman;serif"/>
                <w:b w:val="false"/>
                <w:color w:val="000000"/>
                <w:sz w:val="20"/>
              </w:rPr>
              <w:t>Classified as:</w:t>
            </w:r>
          </w:p>
        </w:tc>
        <w:tc>
          <w:tcPr>
            <w:tcW w:w="1146" w:type="dxa"/>
            <w:gridSpan w:val="3"/>
            <w:tcBorders/>
            <w:shd w:fill="FFFFFF" w:val="clear"/>
            <w:tcMar>
              <w:top w:w="0" w:type="dxa"/>
              <w:left w:w="0" w:type="dxa"/>
              <w:bottom w:w="0" w:type="dxa"/>
              <w:right w:w="0" w:type="dxa"/>
            </w:tcMar>
            <w:vAlign w:val="center"/>
          </w:tcPr>
          <w:p>
            <w:pPr>
              <w:pStyle w:val="TableContents"/>
              <w:bidi w:val="0"/>
              <w:spacing w:lineRule="auto" w:line="252" w:before="0" w:after="283"/>
              <w:jc w:val="righ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shd w:fill="FFFFFF" w:val="clear"/>
            <w:tcMar>
              <w:top w:w="0" w:type="dxa"/>
              <w:left w:w="0" w:type="dxa"/>
              <w:bottom w:w="0" w:type="dxa"/>
              <w:right w:w="0" w:type="dxa"/>
            </w:tcMar>
            <w:vAlign w:val="center"/>
          </w:tcPr>
          <w:p>
            <w:pPr>
              <w:pStyle w:val="TableContents"/>
              <w:bidi w:val="0"/>
              <w:spacing w:lineRule="auto" w:line="252" w:before="0" w:after="283"/>
              <w:jc w:val="righ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3"/>
            <w:tcBorders/>
            <w:shd w:fill="FFFFFF" w:val="clear"/>
            <w:tcMar>
              <w:top w:w="0" w:type="dxa"/>
              <w:left w:w="0" w:type="dxa"/>
              <w:bottom w:w="0" w:type="dxa"/>
              <w:right w:w="0" w:type="dxa"/>
            </w:tcMar>
            <w:vAlign w:val="center"/>
          </w:tcPr>
          <w:p>
            <w:pPr>
              <w:pStyle w:val="TableContents"/>
              <w:bidi w:val="0"/>
              <w:spacing w:lineRule="auto" w:line="252" w:before="0" w:after="283"/>
              <w:jc w:val="right"/>
              <w:rPr>
                <w:color w:val="000000"/>
              </w:rPr>
            </w:pPr>
            <w:r>
              <w:rPr>
                <w:color w:val="000000"/>
              </w:rPr>
              <w:t> </w:t>
            </w:r>
          </w:p>
        </w:tc>
      </w:tr>
      <w:tr>
        <w:trPr/>
        <w:tc>
          <w:tcPr>
            <w:tcW w:w="5113" w:type="dxa"/>
            <w:gridSpan w:val="3"/>
            <w:tcBorders/>
            <w:shd w:fill="CCEEFF" w:val="clear"/>
            <w:tcMar>
              <w:top w:w="0" w:type="dxa"/>
              <w:left w:w="0" w:type="dxa"/>
              <w:bottom w:w="0" w:type="dxa"/>
              <w:right w:w="0" w:type="dxa"/>
            </w:tcMar>
            <w:vAlign w:val="center"/>
          </w:tcPr>
          <w:p>
            <w:pPr>
              <w:pStyle w:val="TableContents"/>
              <w:bidi w:val="0"/>
              <w:spacing w:lineRule="auto" w:line="252" w:before="0" w:after="283"/>
              <w:jc w:val="left"/>
              <w:rPr>
                <w:rFonts w:ascii="Times New Roman;serif" w:hAnsi="Times New Roman;serif"/>
                <w:b w:val="false"/>
                <w:color w:val="000000"/>
                <w:sz w:val="20"/>
              </w:rPr>
            </w:pPr>
            <w:r>
              <w:rPr>
                <w:rFonts w:ascii="Times New Roman;serif" w:hAnsi="Times New Roman;serif"/>
                <w:b w:val="false"/>
                <w:color w:val="000000"/>
                <w:sz w:val="20"/>
              </w:rPr>
              <w:t>Cash and cash equivalents</w:t>
            </w:r>
          </w:p>
        </w:tc>
        <w:tc>
          <w:tcPr>
            <w:tcW w:w="1146" w:type="dxa"/>
            <w:gridSpan w:val="3"/>
            <w:tcBorders/>
            <w:shd w:fill="CCEEFF" w:val="clear"/>
            <w:tcMar>
              <w:top w:w="0" w:type="dxa"/>
              <w:left w:w="0" w:type="dxa"/>
              <w:bottom w:w="0" w:type="dxa"/>
              <w:right w:w="0" w:type="dxa"/>
            </w:tcMar>
            <w:vAlign w:val="center"/>
          </w:tcPr>
          <w:p>
            <w:pPr>
              <w:pStyle w:val="TableContents"/>
              <w:bidi w:val="0"/>
              <w:spacing w:lineRule="auto" w:line="252"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shd w:fill="CCEEFF" w:val="clear"/>
            <w:tcMar>
              <w:top w:w="0" w:type="dxa"/>
              <w:left w:w="0" w:type="dxa"/>
              <w:bottom w:w="0" w:type="dxa"/>
              <w:right w:w="0" w:type="dxa"/>
            </w:tcMar>
            <w:vAlign w:val="center"/>
          </w:tcPr>
          <w:p>
            <w:pPr>
              <w:pStyle w:val="TableContents"/>
              <w:bidi w:val="0"/>
              <w:spacing w:lineRule="auto" w:line="252"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52"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52" w:before="0" w:after="283"/>
              <w:jc w:val="right"/>
              <w:rPr>
                <w:rFonts w:ascii="Times New Roman;serif" w:hAnsi="Times New Roman;serif"/>
                <w:b w:val="false"/>
                <w:color w:val="000000"/>
                <w:sz w:val="20"/>
              </w:rPr>
            </w:pPr>
            <w:r>
              <w:rPr>
                <w:rFonts w:ascii="Times New Roman;serif" w:hAnsi="Times New Roman;serif"/>
                <w:b w:val="false"/>
                <w:color w:val="000000"/>
                <w:sz w:val="20"/>
              </w:rPr>
              <w:t>12,057 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13" w:type="dxa"/>
            <w:gridSpan w:val="3"/>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serif" w:hAnsi="Times New Roman;serif"/>
                <w:b w:val="false"/>
                <w:color w:val="000000"/>
                <w:sz w:val="20"/>
              </w:rPr>
            </w:pPr>
            <w:r>
              <w:rPr>
                <w:rFonts w:ascii="Times New Roman;serif" w:hAnsi="Times New Roman;serif"/>
                <w:b w:val="false"/>
                <w:color w:val="000000"/>
                <w:sz w:val="20"/>
              </w:rPr>
              <w:t>Marketable securities, short-term</w:t>
            </w:r>
          </w:p>
        </w:tc>
        <w:tc>
          <w:tcPr>
            <w:tcW w:w="1146" w:type="dxa"/>
            <w:gridSpan w:val="3"/>
            <w:tcBorders/>
            <w:shd w:fill="FFFFFF" w:val="clear"/>
            <w:tcMar>
              <w:top w:w="0" w:type="dxa"/>
              <w:left w:w="0" w:type="dxa"/>
              <w:bottom w:w="0" w:type="dxa"/>
              <w:right w:w="0" w:type="dxa"/>
            </w:tcMar>
            <w:vAlign w:val="center"/>
          </w:tcPr>
          <w:p>
            <w:pPr>
              <w:pStyle w:val="TableContents"/>
              <w:bidi w:val="0"/>
              <w:spacing w:lineRule="auto" w:line="252" w:before="0" w:after="283"/>
              <w:jc w:val="righ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shd w:fill="FFFFFF" w:val="clear"/>
            <w:tcMar>
              <w:top w:w="0" w:type="dxa"/>
              <w:left w:w="0" w:type="dxa"/>
              <w:bottom w:w="0" w:type="dxa"/>
              <w:right w:w="0" w:type="dxa"/>
            </w:tcMar>
            <w:vAlign w:val="center"/>
          </w:tcPr>
          <w:p>
            <w:pPr>
              <w:pStyle w:val="TableContents"/>
              <w:bidi w:val="0"/>
              <w:spacing w:lineRule="auto" w:line="252" w:before="0" w:after="283"/>
              <w:jc w:val="righ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serif" w:hAnsi="Times New Roman;serif"/>
                <w:b w:val="false"/>
                <w:color w:val="000000"/>
                <w:sz w:val="20"/>
              </w:rPr>
            </w:pPr>
            <w:r>
              <w:rPr>
                <w:rFonts w:ascii="Times New Roman;serif" w:hAnsi="Times New Roman;serif"/>
                <w:b w:val="false"/>
                <w:color w:val="000000"/>
                <w:sz w:val="20"/>
              </w:rPr>
              <w:t>105,569 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13" w:type="dxa"/>
            <w:gridSpan w:val="3"/>
            <w:tcBorders/>
            <w:shd w:fill="CCEEFF" w:val="clear"/>
            <w:tcMar>
              <w:top w:w="0" w:type="dxa"/>
              <w:left w:w="0" w:type="dxa"/>
              <w:bottom w:w="0" w:type="dxa"/>
              <w:right w:w="0" w:type="dxa"/>
            </w:tcMar>
            <w:vAlign w:val="center"/>
          </w:tcPr>
          <w:p>
            <w:pPr>
              <w:pStyle w:val="TableContents"/>
              <w:bidi w:val="0"/>
              <w:spacing w:lineRule="auto" w:line="252" w:before="0" w:after="283"/>
              <w:jc w:val="left"/>
              <w:rPr>
                <w:rFonts w:ascii="Times New Roman;serif" w:hAnsi="Times New Roman;serif"/>
                <w:b w:val="false"/>
                <w:color w:val="000000"/>
                <w:sz w:val="20"/>
              </w:rPr>
            </w:pPr>
            <w:r>
              <w:rPr>
                <w:rFonts w:ascii="Times New Roman;serif" w:hAnsi="Times New Roman;serif"/>
                <w:b w:val="false"/>
                <w:color w:val="000000"/>
                <w:sz w:val="20"/>
              </w:rPr>
              <w:t>Marketable securities, long-term</w:t>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52" w:before="0" w:after="283"/>
              <w:jc w:val="right"/>
              <w:rPr>
                <w:rFonts w:ascii="Times New Roman;serif" w:hAnsi="Times New Roman;serif"/>
                <w:b w:val="false"/>
                <w:color w:val="000000"/>
                <w:sz w:val="20"/>
              </w:rPr>
            </w:pPr>
            <w:r>
              <w:rPr>
                <w:rFonts w:ascii="Times New Roman;serif" w:hAnsi="Times New Roman;serif"/>
                <w:b w:val="false"/>
                <w:color w:val="000000"/>
                <w:sz w:val="20"/>
              </w:rPr>
              <w:t>1,001 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13" w:type="dxa"/>
            <w:gridSpan w:val="3"/>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serif" w:hAnsi="Times New Roman;serif"/>
                <w:b w:val="false"/>
                <w:color w:val="000000"/>
                <w:sz w:val="20"/>
              </w:rPr>
            </w:pPr>
            <w:r>
              <w:rPr>
                <w:rFonts w:ascii="Times New Roman;serif" w:hAnsi="Times New Roman;serif"/>
                <w:b w:val="false"/>
                <w:color w:val="000000"/>
                <w:sz w:val="20"/>
              </w:rPr>
              <w:t>Total cash equivalents and marketable securities</w:t>
            </w:r>
          </w:p>
        </w:tc>
        <w:tc>
          <w:tcPr>
            <w:tcW w:w="1146" w:type="dxa"/>
            <w:gridSpan w:val="3"/>
            <w:tcBorders/>
            <w:shd w:fill="FFFFFF" w:val="clear"/>
            <w:tcMar>
              <w:top w:w="0" w:type="dxa"/>
              <w:left w:w="0" w:type="dxa"/>
              <w:bottom w:w="0" w:type="dxa"/>
              <w:right w:w="0" w:type="dxa"/>
            </w:tcMar>
            <w:vAlign w:val="center"/>
          </w:tcPr>
          <w:p>
            <w:pPr>
              <w:pStyle w:val="TableContents"/>
              <w:bidi w:val="0"/>
              <w:spacing w:lineRule="auto" w:line="252" w:before="0" w:after="283"/>
              <w:jc w:val="righ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shd w:fill="FFFFFF" w:val="clear"/>
            <w:tcMar>
              <w:top w:w="0" w:type="dxa"/>
              <w:left w:w="0" w:type="dxa"/>
              <w:bottom w:w="0" w:type="dxa"/>
              <w:right w:w="0" w:type="dxa"/>
            </w:tcMar>
            <w:vAlign w:val="center"/>
          </w:tcPr>
          <w:p>
            <w:pPr>
              <w:pStyle w:val="TableContents"/>
              <w:bidi w:val="0"/>
              <w:spacing w:lineRule="auto" w:line="252" w:before="0" w:after="283"/>
              <w:jc w:val="righ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52" w:before="0" w:after="283"/>
              <w:jc w:val="right"/>
              <w:rPr>
                <w:rFonts w:ascii="Times New Roman;serif" w:hAnsi="Times New Roman;serif"/>
                <w:b w:val="false"/>
                <w:color w:val="000000"/>
                <w:sz w:val="20"/>
              </w:rPr>
            </w:pPr>
            <w:r>
              <w:rPr>
                <w:rFonts w:ascii="Times New Roman;serif" w:hAnsi="Times New Roman;serif"/>
                <w:b w:val="false"/>
                <w:color w:val="000000"/>
                <w:sz w:val="20"/>
              </w:rPr>
              <w:t>118,627 </w:t>
            </w:r>
          </w:p>
        </w:tc>
        <w:tc>
          <w:tcPr>
            <w:tcW w:w="1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1884"/>
        <w:gridCol w:w="1611"/>
        <w:gridCol w:w="1618"/>
        <w:gridCol w:w="211"/>
        <w:gridCol w:w="826"/>
        <w:gridCol w:w="109"/>
        <w:gridCol w:w="109"/>
        <w:gridCol w:w="109"/>
        <w:gridCol w:w="109"/>
        <w:gridCol w:w="237"/>
        <w:gridCol w:w="525"/>
        <w:gridCol w:w="124"/>
        <w:gridCol w:w="109"/>
        <w:gridCol w:w="109"/>
        <w:gridCol w:w="109"/>
        <w:gridCol w:w="257"/>
        <w:gridCol w:w="495"/>
        <w:gridCol w:w="134"/>
        <w:gridCol w:w="109"/>
        <w:gridCol w:w="109"/>
        <w:gridCol w:w="109"/>
        <w:gridCol w:w="211"/>
        <w:gridCol w:w="826"/>
        <w:gridCol w:w="156"/>
      </w:tblGrid>
      <w:tr>
        <w:trPr/>
        <w:tc>
          <w:tcPr>
            <w:tcW w:w="1884" w:type="dxa"/>
            <w:tcBorders/>
            <w:vAlign w:val="center"/>
          </w:tcPr>
          <w:p>
            <w:pPr>
              <w:pStyle w:val="TableContents"/>
              <w:bidi w:val="0"/>
              <w:spacing w:before="0" w:after="283"/>
              <w:jc w:val="left"/>
              <w:rPr>
                <w:sz w:val="4"/>
                <w:szCs w:val="4"/>
              </w:rPr>
            </w:pPr>
            <w:r>
              <w:rPr>
                <w:sz w:val="4"/>
                <w:szCs w:val="4"/>
              </w:rPr>
            </w:r>
          </w:p>
        </w:tc>
        <w:tc>
          <w:tcPr>
            <w:tcW w:w="1611" w:type="dxa"/>
            <w:tcBorders/>
            <w:vAlign w:val="center"/>
          </w:tcPr>
          <w:p>
            <w:pPr>
              <w:pStyle w:val="TableContents"/>
              <w:bidi w:val="0"/>
              <w:spacing w:before="0" w:after="283"/>
              <w:jc w:val="left"/>
              <w:rPr>
                <w:sz w:val="4"/>
                <w:szCs w:val="4"/>
              </w:rPr>
            </w:pPr>
            <w:r>
              <w:rPr>
                <w:sz w:val="4"/>
                <w:szCs w:val="4"/>
              </w:rPr>
            </w:r>
          </w:p>
        </w:tc>
        <w:tc>
          <w:tcPr>
            <w:tcW w:w="1618"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525"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7" w:type="dxa"/>
            <w:tcBorders/>
            <w:vAlign w:val="center"/>
          </w:tcPr>
          <w:p>
            <w:pPr>
              <w:pStyle w:val="TableContents"/>
              <w:bidi w:val="0"/>
              <w:spacing w:before="0" w:after="283"/>
              <w:jc w:val="left"/>
              <w:rPr>
                <w:sz w:val="4"/>
                <w:szCs w:val="4"/>
              </w:rPr>
            </w:pPr>
            <w:r>
              <w:rPr>
                <w:sz w:val="4"/>
                <w:szCs w:val="4"/>
              </w:rPr>
            </w:r>
          </w:p>
        </w:tc>
        <w:tc>
          <w:tcPr>
            <w:tcW w:w="495"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5113" w:type="dxa"/>
            <w:gridSpan w:val="3"/>
            <w:tcBorders/>
            <w:tcMar>
              <w:top w:w="0" w:type="dxa"/>
              <w:left w:w="0" w:type="dxa"/>
              <w:bottom w:w="0" w:type="dxa"/>
              <w:right w:w="0" w:type="dxa"/>
            </w:tcMar>
            <w:vAlign w:val="center"/>
          </w:tcPr>
          <w:p>
            <w:pPr>
              <w:pStyle w:val="TableContents"/>
              <w:bidi w:val="0"/>
              <w:spacing w:lineRule="auto" w:line="252" w:before="0" w:after="283"/>
              <w:jc w:val="center"/>
              <w:rPr>
                <w:color w:val="000000"/>
              </w:rPr>
            </w:pPr>
            <w:r>
              <w:rPr>
                <w:color w:val="000000"/>
              </w:rPr>
              <w:t> </w:t>
            </w:r>
          </w:p>
        </w:tc>
        <w:tc>
          <w:tcPr>
            <w:tcW w:w="5092" w:type="dxa"/>
            <w:gridSpan w:val="21"/>
            <w:tcBorders/>
            <w:tcMar>
              <w:top w:w="0" w:type="dxa"/>
              <w:left w:w="0" w:type="dxa"/>
              <w:bottom w:w="0" w:type="dxa"/>
              <w:right w:w="0" w:type="dxa"/>
            </w:tcMar>
            <w:vAlign w:val="center"/>
          </w:tcPr>
          <w:p>
            <w:pPr>
              <w:pStyle w:val="TableContents"/>
              <w:bidi w:val="0"/>
              <w:spacing w:lineRule="auto" w:line="252" w:before="0" w:after="283"/>
              <w:jc w:val="center"/>
              <w:rPr>
                <w:rFonts w:ascii="Times New Roman;serif" w:hAnsi="Times New Roman;serif"/>
                <w:b/>
                <w:color w:val="000000"/>
                <w:sz w:val="16"/>
              </w:rPr>
            </w:pPr>
            <w:r>
              <w:rPr>
                <w:rFonts w:ascii="Times New Roman;serif" w:hAnsi="Times New Roman;serif"/>
                <w:b/>
                <w:color w:val="000000"/>
                <w:sz w:val="16"/>
              </w:rPr>
              <w:t>As of December 31, 2025</w:t>
            </w:r>
          </w:p>
        </w:tc>
      </w:tr>
      <w:tr>
        <w:trPr/>
        <w:tc>
          <w:tcPr>
            <w:tcW w:w="5113" w:type="dxa"/>
            <w:gridSpan w:val="3"/>
            <w:tcBorders/>
            <w:tcMar>
              <w:top w:w="0" w:type="dxa"/>
              <w:left w:w="0" w:type="dxa"/>
              <w:bottom w:w="0" w:type="dxa"/>
              <w:right w:w="0" w:type="dxa"/>
            </w:tcMar>
            <w:vAlign w:val="center"/>
          </w:tcPr>
          <w:p>
            <w:pPr>
              <w:pStyle w:val="TableContents"/>
              <w:bidi w:val="0"/>
              <w:spacing w:lineRule="auto" w:line="252" w:before="0" w:after="283"/>
              <w:jc w:val="center"/>
              <w:rPr>
                <w:color w:val="000000"/>
              </w:rPr>
            </w:pPr>
            <w:r>
              <w:rPr>
                <w:color w:val="000000"/>
              </w:rPr>
              <w:t> </w:t>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52" w:before="0" w:after="0"/>
              <w:jc w:val="center"/>
              <w:rPr>
                <w:rFonts w:ascii="Times New Roman;serif" w:hAnsi="Times New Roman;serif"/>
                <w:b/>
                <w:color w:val="000000"/>
                <w:sz w:val="16"/>
              </w:rPr>
            </w:pPr>
            <w:r>
              <w:rPr>
                <w:rFonts w:ascii="Times New Roman;serif" w:hAnsi="Times New Roman;serif"/>
                <w:b/>
                <w:color w:val="000000"/>
                <w:sz w:val="16"/>
              </w:rPr>
              <w:t>Amortized</w:t>
            </w:r>
          </w:p>
          <w:p>
            <w:pPr>
              <w:pStyle w:val="TableContents"/>
              <w:bidi w:val="0"/>
              <w:spacing w:lineRule="auto" w:line="252" w:before="0" w:after="0"/>
              <w:jc w:val="center"/>
              <w:rPr>
                <w:rFonts w:ascii="Times New Roman;serif" w:hAnsi="Times New Roman;serif"/>
                <w:b/>
                <w:color w:val="000000"/>
                <w:sz w:val="16"/>
              </w:rPr>
            </w:pPr>
            <w:r>
              <w:rPr>
                <w:rFonts w:ascii="Times New Roman;serif" w:hAnsi="Times New Roman;serif"/>
                <w:b/>
                <w:color w:val="000000"/>
                <w:sz w:val="16"/>
              </w:rPr>
              <w:t>Cost Basis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52" w:before="0" w:after="0"/>
              <w:jc w:val="center"/>
              <w:rPr>
                <w:rFonts w:ascii="Times New Roman;serif" w:hAnsi="Times New Roman;serif"/>
                <w:b/>
                <w:color w:val="000000"/>
                <w:sz w:val="16"/>
              </w:rPr>
            </w:pPr>
            <w:r>
              <w:rPr>
                <w:rFonts w:ascii="Times New Roman;serif" w:hAnsi="Times New Roman;serif"/>
                <w:b/>
                <w:color w:val="000000"/>
                <w:sz w:val="16"/>
              </w:rPr>
              <w:t>Unrealized</w:t>
            </w:r>
          </w:p>
          <w:p>
            <w:pPr>
              <w:pStyle w:val="TableContents"/>
              <w:bidi w:val="0"/>
              <w:spacing w:lineRule="auto" w:line="252" w:before="0" w:after="0"/>
              <w:jc w:val="center"/>
              <w:rPr>
                <w:rFonts w:ascii="Times New Roman;serif" w:hAnsi="Times New Roman;serif"/>
                <w:b/>
                <w:color w:val="000000"/>
                <w:sz w:val="16"/>
              </w:rPr>
            </w:pPr>
            <w:r>
              <w:rPr>
                <w:rFonts w:ascii="Times New Roman;serif" w:hAnsi="Times New Roman;serif"/>
                <w:b/>
                <w:color w:val="000000"/>
                <w:sz w:val="16"/>
              </w:rPr>
              <w:t>Gains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52" w:before="0" w:after="0"/>
              <w:jc w:val="center"/>
              <w:rPr>
                <w:rFonts w:ascii="Times New Roman;serif" w:hAnsi="Times New Roman;serif"/>
                <w:b/>
                <w:color w:val="000000"/>
                <w:sz w:val="16"/>
              </w:rPr>
            </w:pPr>
            <w:r>
              <w:rPr>
                <w:rFonts w:ascii="Times New Roman;serif" w:hAnsi="Times New Roman;serif"/>
                <w:b/>
                <w:color w:val="000000"/>
                <w:sz w:val="16"/>
              </w:rPr>
              <w:t>Unrealized</w:t>
            </w:r>
          </w:p>
          <w:p>
            <w:pPr>
              <w:pStyle w:val="TableContents"/>
              <w:bidi w:val="0"/>
              <w:spacing w:lineRule="auto" w:line="252" w:before="0" w:after="0"/>
              <w:jc w:val="center"/>
              <w:rPr>
                <w:rFonts w:ascii="Times New Roman;serif" w:hAnsi="Times New Roman;serif"/>
                <w:b/>
                <w:color w:val="000000"/>
                <w:sz w:val="16"/>
              </w:rPr>
            </w:pPr>
            <w:r>
              <w:rPr>
                <w:rFonts w:ascii="Times New Roman;serif" w:hAnsi="Times New Roman;serif"/>
                <w:b/>
                <w:color w:val="000000"/>
                <w:sz w:val="16"/>
              </w:rPr>
              <w:t xml:space="preserve">Losses </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52" w:before="0" w:after="0"/>
              <w:jc w:val="center"/>
              <w:rPr>
                <w:rFonts w:ascii="Times New Roman;serif" w:hAnsi="Times New Roman;serif"/>
                <w:b/>
                <w:color w:val="000000"/>
                <w:sz w:val="16"/>
              </w:rPr>
            </w:pPr>
            <w:r>
              <w:rPr>
                <w:rFonts w:ascii="Times New Roman;serif" w:hAnsi="Times New Roman;serif"/>
                <w:b/>
                <w:color w:val="000000"/>
                <w:sz w:val="16"/>
              </w:rPr>
              <w:t>Estimated</w:t>
            </w:r>
          </w:p>
          <w:p>
            <w:pPr>
              <w:pStyle w:val="TableContents"/>
              <w:bidi w:val="0"/>
              <w:spacing w:lineRule="auto" w:line="252" w:before="0" w:after="0"/>
              <w:jc w:val="center"/>
              <w:rPr>
                <w:rFonts w:ascii="Times New Roman;serif" w:hAnsi="Times New Roman;serif"/>
                <w:b/>
                <w:color w:val="000000"/>
                <w:sz w:val="16"/>
              </w:rPr>
            </w:pPr>
            <w:r>
              <w:rPr>
                <w:rFonts w:ascii="Times New Roman;serif" w:hAnsi="Times New Roman;serif"/>
                <w:b/>
                <w:color w:val="000000"/>
                <w:sz w:val="16"/>
              </w:rPr>
              <w:t>Fair Value</w:t>
            </w:r>
          </w:p>
        </w:tc>
      </w:tr>
      <w:tr>
        <w:trPr/>
        <w:tc>
          <w:tcPr>
            <w:tcW w:w="5113" w:type="dxa"/>
            <w:gridSpan w:val="3"/>
            <w:tcBorders/>
            <w:shd w:fill="CCEEFF" w:val="clear"/>
            <w:tcMar>
              <w:top w:w="0" w:type="dxa"/>
              <w:left w:w="0" w:type="dxa"/>
              <w:bottom w:w="0" w:type="dxa"/>
              <w:right w:w="0" w:type="dxa"/>
            </w:tcMar>
            <w:vAlign w:val="center"/>
          </w:tcPr>
          <w:p>
            <w:pPr>
              <w:pStyle w:val="TableContents"/>
              <w:bidi w:val="0"/>
              <w:spacing w:lineRule="auto" w:line="252" w:before="0" w:after="0"/>
              <w:jc w:val="left"/>
              <w:rPr>
                <w:rFonts w:ascii="Times New Roman;serif" w:hAnsi="Times New Roman;serif"/>
                <w:b w:val="false"/>
                <w:color w:val="000000"/>
                <w:sz w:val="20"/>
              </w:rPr>
            </w:pPr>
            <w:r>
              <w:rPr>
                <w:rFonts w:ascii="Times New Roman;serif" w:hAnsi="Times New Roman;serif"/>
                <w:b w:val="false"/>
                <w:color w:val="000000"/>
                <w:sz w:val="20"/>
              </w:rPr>
              <w:t>U.S. Treasury bills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52"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52" w:before="0" w:after="283"/>
              <w:jc w:val="right"/>
              <w:rPr>
                <w:rFonts w:ascii="Times New Roman;serif" w:hAnsi="Times New Roman;serif"/>
                <w:b w:val="false"/>
                <w:color w:val="000000"/>
                <w:sz w:val="20"/>
              </w:rPr>
            </w:pPr>
            <w:r>
              <w:rPr>
                <w:rFonts w:ascii="Times New Roman;serif" w:hAnsi="Times New Roman;serif"/>
                <w:b w:val="false"/>
                <w:color w:val="000000"/>
                <w:sz w:val="20"/>
              </w:rPr>
              <w:t>86,872 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52"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2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52" w:before="0" w:after="283"/>
              <w:jc w:val="right"/>
              <w:rPr>
                <w:rFonts w:ascii="Times New Roman;serif" w:hAnsi="Times New Roman;serif"/>
                <w:b w:val="false"/>
                <w:color w:val="000000"/>
                <w:sz w:val="20"/>
              </w:rPr>
            </w:pPr>
            <w:r>
              <w:rPr>
                <w:rFonts w:ascii="Times New Roman;serif" w:hAnsi="Times New Roman;serif"/>
                <w:b w:val="false"/>
                <w:color w:val="000000"/>
                <w:sz w:val="20"/>
              </w:rPr>
              <w:t>92 </w:t>
            </w:r>
          </w:p>
        </w:tc>
        <w:tc>
          <w:tcPr>
            <w:tcW w:w="12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52"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9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52" w:before="0" w:after="283"/>
              <w:jc w:val="right"/>
              <w:rPr>
                <w:color w:val="000000"/>
              </w:rPr>
            </w:pPr>
            <w:r>
              <w:rPr>
                <w:color w:val="000000"/>
              </w:rPr>
              <w:t>— </w:t>
            </w:r>
          </w:p>
        </w:tc>
        <w:tc>
          <w:tcPr>
            <w:tcW w:w="13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52"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52" w:before="0" w:after="283"/>
              <w:jc w:val="right"/>
              <w:rPr>
                <w:rFonts w:ascii="Times New Roman;serif" w:hAnsi="Times New Roman;serif"/>
                <w:b w:val="false"/>
                <w:color w:val="000000"/>
                <w:sz w:val="20"/>
              </w:rPr>
            </w:pPr>
            <w:r>
              <w:rPr>
                <w:rFonts w:ascii="Times New Roman;serif" w:hAnsi="Times New Roman;serif"/>
                <w:b w:val="false"/>
                <w:color w:val="000000"/>
                <w:sz w:val="20"/>
              </w:rPr>
              <w:t>86,964 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13" w:type="dxa"/>
            <w:gridSpan w:val="3"/>
            <w:tcBorders/>
            <w:shd w:fill="FFFFFF" w:val="clear"/>
            <w:tcMar>
              <w:top w:w="0" w:type="dxa"/>
              <w:left w:w="0" w:type="dxa"/>
              <w:bottom w:w="0" w:type="dxa"/>
              <w:right w:w="0" w:type="dxa"/>
            </w:tcMar>
            <w:vAlign w:val="center"/>
          </w:tcPr>
          <w:p>
            <w:pPr>
              <w:pStyle w:val="TableContents"/>
              <w:bidi w:val="0"/>
              <w:spacing w:lineRule="auto" w:line="252" w:before="0" w:after="0"/>
              <w:jc w:val="left"/>
              <w:rPr>
                <w:rFonts w:ascii="Times New Roman;serif" w:hAnsi="Times New Roman;serif"/>
                <w:b w:val="false"/>
                <w:color w:val="000000"/>
                <w:sz w:val="20"/>
              </w:rPr>
            </w:pPr>
            <w:r>
              <w:rPr>
                <w:rFonts w:ascii="Times New Roman;serif" w:hAnsi="Times New Roman;serif"/>
                <w:b w:val="false"/>
                <w:color w:val="000000"/>
                <w:sz w:val="20"/>
              </w:rPr>
              <w:t>U.S. government agency bonds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serif" w:hAnsi="Times New Roman;serif"/>
                <w:b w:val="false"/>
                <w:color w:val="000000"/>
                <w:sz w:val="20"/>
              </w:rPr>
            </w:pPr>
            <w:r>
              <w:rPr>
                <w:rFonts w:ascii="Times New Roman;serif" w:hAnsi="Times New Roman;serif"/>
                <w:b w:val="false"/>
                <w:color w:val="000000"/>
                <w:sz w:val="20"/>
              </w:rPr>
              <w:t>28,707 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2" w:type="dxa"/>
            <w:gridSpan w:val="2"/>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serif" w:hAnsi="Times New Roman;serif"/>
                <w:b w:val="false"/>
                <w:color w:val="000000"/>
                <w:sz w:val="20"/>
              </w:rPr>
            </w:pPr>
            <w:r>
              <w:rPr>
                <w:rFonts w:ascii="Times New Roman;serif" w:hAnsi="Times New Roman;serif"/>
                <w:b w:val="false"/>
                <w:color w:val="000000"/>
                <w:sz w:val="20"/>
              </w:rPr>
              <w:t>12 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serif" w:hAnsi="Times New Roman;serif"/>
                <w:b w:val="false"/>
                <w:color w:val="000000"/>
                <w:sz w:val="20"/>
              </w:rPr>
            </w:pPr>
            <w:r>
              <w:rPr>
                <w:rFonts w:ascii="Times New Roman;serif" w:hAnsi="Times New Roman;serif"/>
                <w:b w:val="false"/>
                <w:color w:val="000000"/>
                <w:sz w:val="20"/>
              </w:rPr>
              <w:t>(2)</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serif" w:hAnsi="Times New Roman;serif"/>
                <w:b w:val="false"/>
                <w:color w:val="000000"/>
                <w:sz w:val="20"/>
              </w:rPr>
            </w:pPr>
            <w:r>
              <w:rPr>
                <w:rFonts w:ascii="Times New Roman;serif" w:hAnsi="Times New Roman;serif"/>
                <w:b w:val="false"/>
                <w:color w:val="000000"/>
                <w:sz w:val="20"/>
              </w:rPr>
              <w:t>28,717 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13" w:type="dxa"/>
            <w:gridSpan w:val="3"/>
            <w:tcBorders/>
            <w:shd w:fill="CCEEFF" w:val="clear"/>
            <w:tcMar>
              <w:top w:w="0" w:type="dxa"/>
              <w:left w:w="0" w:type="dxa"/>
              <w:bottom w:w="0" w:type="dxa"/>
              <w:right w:w="0" w:type="dxa"/>
            </w:tcMar>
            <w:vAlign w:val="center"/>
          </w:tcPr>
          <w:p>
            <w:pPr>
              <w:pStyle w:val="TableContents"/>
              <w:bidi w:val="0"/>
              <w:spacing w:lineRule="auto" w:line="252" w:before="0" w:after="0"/>
              <w:jc w:val="left"/>
              <w:rPr>
                <w:rFonts w:ascii="Times New Roman;serif" w:hAnsi="Times New Roman;serif"/>
                <w:b w:val="false"/>
                <w:color w:val="000000"/>
                <w:sz w:val="20"/>
              </w:rPr>
            </w:pPr>
            <w:r>
              <w:rPr>
                <w:rFonts w:ascii="Times New Roman;serif" w:hAnsi="Times New Roman;serif"/>
                <w:b w:val="false"/>
                <w:color w:val="000000"/>
                <w:sz w:val="20"/>
              </w:rPr>
              <w:t>Money market fund investments (included in cash and cash equivalents)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52" w:before="0" w:after="283"/>
              <w:jc w:val="right"/>
              <w:rPr>
                <w:rFonts w:ascii="Times New Roman;serif" w:hAnsi="Times New Roman;serif"/>
                <w:b w:val="false"/>
                <w:color w:val="000000"/>
                <w:sz w:val="20"/>
              </w:rPr>
            </w:pPr>
            <w:r>
              <w:rPr>
                <w:rFonts w:ascii="Times New Roman;serif" w:hAnsi="Times New Roman;serif"/>
                <w:b w:val="false"/>
                <w:color w:val="000000"/>
                <w:sz w:val="20"/>
              </w:rPr>
              <w:t>11,361 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2" w:type="dxa"/>
            <w:gridSpan w:val="2"/>
            <w:tcBorders/>
            <w:shd w:fill="CCEEFF" w:val="clear"/>
            <w:tcMar>
              <w:top w:w="0" w:type="dxa"/>
              <w:left w:w="0" w:type="dxa"/>
              <w:bottom w:w="0" w:type="dxa"/>
              <w:right w:w="0" w:type="dxa"/>
            </w:tcMar>
            <w:vAlign w:val="center"/>
          </w:tcPr>
          <w:p>
            <w:pPr>
              <w:pStyle w:val="TableContents"/>
              <w:bidi w:val="0"/>
              <w:spacing w:lineRule="auto" w:line="252" w:before="0" w:after="283"/>
              <w:jc w:val="right"/>
              <w:rPr>
                <w:color w:val="000000"/>
              </w:rPr>
            </w:pPr>
            <w:r>
              <w:rPr>
                <w:color w:val="000000"/>
              </w:rPr>
              <w:t>—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52" w:before="0" w:after="283"/>
              <w:jc w:val="right"/>
              <w:rPr>
                <w:color w:val="000000"/>
              </w:rPr>
            </w:pPr>
            <w:r>
              <w:rPr>
                <w:color w:val="000000"/>
              </w:rPr>
              <w:t>— </w:t>
            </w:r>
          </w:p>
        </w:tc>
        <w:tc>
          <w:tcPr>
            <w:tcW w:w="1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52" w:before="0" w:after="283"/>
              <w:jc w:val="right"/>
              <w:rPr>
                <w:rFonts w:ascii="Times New Roman;serif" w:hAnsi="Times New Roman;serif"/>
                <w:b w:val="false"/>
                <w:color w:val="000000"/>
                <w:sz w:val="20"/>
              </w:rPr>
            </w:pPr>
            <w:r>
              <w:rPr>
                <w:rFonts w:ascii="Times New Roman;serif" w:hAnsi="Times New Roman;serif"/>
                <w:b w:val="false"/>
                <w:color w:val="000000"/>
                <w:sz w:val="20"/>
              </w:rPr>
              <w:t>11,361 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13" w:type="dxa"/>
            <w:gridSpan w:val="3"/>
            <w:tcBorders/>
            <w:shd w:fill="FFFFFF" w:val="clear"/>
            <w:tcMar>
              <w:top w:w="0" w:type="dxa"/>
              <w:left w:w="0" w:type="dxa"/>
              <w:bottom w:w="0" w:type="dxa"/>
              <w:right w:w="0" w:type="dxa"/>
            </w:tcMar>
            <w:vAlign w:val="center"/>
          </w:tcPr>
          <w:p>
            <w:pPr>
              <w:pStyle w:val="TableContents"/>
              <w:bidi w:val="0"/>
              <w:spacing w:lineRule="auto" w:line="252" w:before="0" w:after="0"/>
              <w:jc w:val="left"/>
              <w:rPr>
                <w:rFonts w:ascii="Times New Roman;serif" w:hAnsi="Times New Roman;serif"/>
                <w:b w:val="false"/>
                <w:color w:val="000000"/>
                <w:sz w:val="20"/>
              </w:rPr>
            </w:pPr>
            <w:r>
              <w:rPr>
                <w:rFonts w:ascii="Times New Roman;serif" w:hAnsi="Times New Roman;serif"/>
                <w:b w:val="false"/>
                <w:color w:val="000000"/>
                <w:sz w:val="20"/>
              </w:rPr>
              <w:t>Corporate debt securities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serif" w:hAnsi="Times New Roman;serif"/>
                <w:b w:val="false"/>
                <w:color w:val="000000"/>
                <w:sz w:val="20"/>
              </w:rPr>
            </w:pPr>
            <w:r>
              <w:rPr>
                <w:rFonts w:ascii="Times New Roman;serif" w:hAnsi="Times New Roman;serif"/>
                <w:b w:val="false"/>
                <w:color w:val="000000"/>
                <w:sz w:val="20"/>
              </w:rPr>
              <w:t>8,663 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2" w:type="dxa"/>
            <w:gridSpan w:val="2"/>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serif" w:hAnsi="Times New Roman;serif"/>
                <w:b w:val="false"/>
                <w:color w:val="000000"/>
                <w:sz w:val="20"/>
              </w:rPr>
            </w:pPr>
            <w:r>
              <w:rPr>
                <w:rFonts w:ascii="Times New Roman;serif" w:hAnsi="Times New Roman;serif"/>
                <w:b w:val="false"/>
                <w:color w:val="000000"/>
                <w:sz w:val="20"/>
              </w:rPr>
              <w:t>2 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serif" w:hAnsi="Times New Roman;serif"/>
                <w:b w:val="false"/>
                <w:color w:val="000000"/>
                <w:sz w:val="20"/>
              </w:rPr>
            </w:pPr>
            <w:r>
              <w:rPr>
                <w:rFonts w:ascii="Times New Roman;serif" w:hAnsi="Times New Roman;serif"/>
                <w:b w:val="false"/>
                <w:color w:val="000000"/>
                <w:sz w:val="20"/>
              </w:rPr>
              <w:t>(2)</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serif" w:hAnsi="Times New Roman;serif"/>
                <w:b w:val="false"/>
                <w:color w:val="000000"/>
                <w:sz w:val="20"/>
              </w:rPr>
            </w:pPr>
            <w:r>
              <w:rPr>
                <w:rFonts w:ascii="Times New Roman;serif" w:hAnsi="Times New Roman;serif"/>
                <w:b w:val="false"/>
                <w:color w:val="000000"/>
                <w:sz w:val="20"/>
              </w:rPr>
              <w:t>8,663 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13" w:type="dxa"/>
            <w:gridSpan w:val="3"/>
            <w:tcBorders/>
            <w:shd w:fill="CCEEFF" w:val="clear"/>
            <w:tcMar>
              <w:top w:w="0" w:type="dxa"/>
              <w:left w:w="0" w:type="dxa"/>
              <w:bottom w:w="0" w:type="dxa"/>
              <w:right w:w="0" w:type="dxa"/>
            </w:tcMar>
            <w:vAlign w:val="center"/>
          </w:tcPr>
          <w:p>
            <w:pPr>
              <w:pStyle w:val="TableContents"/>
              <w:bidi w:val="0"/>
              <w:spacing w:lineRule="auto" w:line="252" w:before="0" w:after="0"/>
              <w:jc w:val="left"/>
              <w:rPr>
                <w:rFonts w:ascii="Times New Roman;serif" w:hAnsi="Times New Roman;serif"/>
                <w:b w:val="false"/>
                <w:color w:val="000000"/>
                <w:sz w:val="20"/>
              </w:rPr>
            </w:pPr>
            <w:r>
              <w:rPr>
                <w:rFonts w:ascii="Times New Roman;serif" w:hAnsi="Times New Roman;serif"/>
                <w:b w:val="false"/>
                <w:color w:val="000000"/>
                <w:sz w:val="20"/>
              </w:rPr>
              <w:t>Commercial paper ($999 included in cash and cash equivalents)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52" w:before="0" w:after="283"/>
              <w:jc w:val="right"/>
              <w:rPr>
                <w:rFonts w:ascii="Times New Roman;serif" w:hAnsi="Times New Roman;serif"/>
                <w:b w:val="false"/>
                <w:color w:val="000000"/>
                <w:sz w:val="20"/>
              </w:rPr>
            </w:pPr>
            <w:r>
              <w:rPr>
                <w:rFonts w:ascii="Times New Roman;serif" w:hAnsi="Times New Roman;serif"/>
                <w:b w:val="false"/>
                <w:color w:val="000000"/>
                <w:sz w:val="20"/>
              </w:rPr>
              <w:t>7,139 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2" w:type="dxa"/>
            <w:gridSpan w:val="2"/>
            <w:tcBorders/>
            <w:shd w:fill="CCEEFF" w:val="clear"/>
            <w:tcMar>
              <w:top w:w="0" w:type="dxa"/>
              <w:left w:w="0" w:type="dxa"/>
              <w:bottom w:w="0" w:type="dxa"/>
              <w:right w:w="0" w:type="dxa"/>
            </w:tcMar>
            <w:vAlign w:val="center"/>
          </w:tcPr>
          <w:p>
            <w:pPr>
              <w:pStyle w:val="TableContents"/>
              <w:bidi w:val="0"/>
              <w:spacing w:lineRule="auto" w:line="252" w:before="0" w:after="283"/>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52" w:before="0" w:after="283"/>
              <w:jc w:val="right"/>
              <w:rPr>
                <w:color w:val="000000"/>
              </w:rPr>
            </w:pPr>
            <w:r>
              <w:rPr>
                <w:color w:val="000000"/>
              </w:rPr>
              <w:t>— </w:t>
            </w:r>
          </w:p>
        </w:tc>
        <w:tc>
          <w:tcPr>
            <w:tcW w:w="1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52" w:before="0" w:after="283"/>
              <w:jc w:val="right"/>
              <w:rPr>
                <w:rFonts w:ascii="Times New Roman;serif" w:hAnsi="Times New Roman;serif"/>
                <w:b w:val="false"/>
                <w:color w:val="000000"/>
                <w:sz w:val="20"/>
              </w:rPr>
            </w:pPr>
            <w:r>
              <w:rPr>
                <w:rFonts w:ascii="Times New Roman;serif" w:hAnsi="Times New Roman;serif"/>
                <w:b w:val="false"/>
                <w:color w:val="000000"/>
                <w:sz w:val="20"/>
              </w:rPr>
              <w:t>7,140 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13" w:type="dxa"/>
            <w:gridSpan w:val="3"/>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serif" w:hAnsi="Times New Roman;serif"/>
                <w:b w:val="false"/>
                <w:color w:val="000000"/>
                <w:sz w:val="20"/>
              </w:rPr>
            </w:pPr>
            <w:r>
              <w:rPr>
                <w:rFonts w:ascii="Times New Roman;serif" w:hAnsi="Times New Roman;serif"/>
                <w:b w:val="false"/>
                <w:color w:val="000000"/>
                <w:sz w:val="20"/>
              </w:rPr>
              <w:t>Total cash equivalents and marketable securities</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52"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52" w:before="0" w:after="283"/>
              <w:jc w:val="right"/>
              <w:rPr>
                <w:rFonts w:ascii="Times New Roman;serif" w:hAnsi="Times New Roman;serif"/>
                <w:b w:val="false"/>
                <w:color w:val="000000"/>
                <w:sz w:val="20"/>
              </w:rPr>
            </w:pPr>
            <w:r>
              <w:rPr>
                <w:rFonts w:ascii="Times New Roman;serif" w:hAnsi="Times New Roman;serif"/>
                <w:b w:val="false"/>
                <w:color w:val="000000"/>
                <w:sz w:val="20"/>
              </w:rPr>
              <w:t>142,742 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52"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2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52" w:before="0" w:after="283"/>
              <w:jc w:val="right"/>
              <w:rPr>
                <w:rFonts w:ascii="Times New Roman;serif" w:hAnsi="Times New Roman;serif"/>
                <w:b w:val="false"/>
                <w:color w:val="000000"/>
                <w:sz w:val="20"/>
              </w:rPr>
            </w:pPr>
            <w:r>
              <w:rPr>
                <w:rFonts w:ascii="Times New Roman;serif" w:hAnsi="Times New Roman;serif"/>
                <w:b w:val="false"/>
                <w:color w:val="000000"/>
                <w:sz w:val="20"/>
              </w:rPr>
              <w:t>107 </w:t>
            </w:r>
          </w:p>
        </w:tc>
        <w:tc>
          <w:tcPr>
            <w:tcW w:w="12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52"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9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52" w:before="0" w:after="283"/>
              <w:jc w:val="right"/>
              <w:rPr>
                <w:rFonts w:ascii="Times New Roman;serif" w:hAnsi="Times New Roman;serif"/>
                <w:b w:val="false"/>
                <w:color w:val="000000"/>
                <w:sz w:val="20"/>
              </w:rPr>
            </w:pPr>
            <w:r>
              <w:rPr>
                <w:rFonts w:ascii="Times New Roman;serif" w:hAnsi="Times New Roman;serif"/>
                <w:b w:val="false"/>
                <w:color w:val="000000"/>
                <w:sz w:val="20"/>
              </w:rPr>
              <w:t>(4)</w:t>
            </w:r>
          </w:p>
        </w:tc>
        <w:tc>
          <w:tcPr>
            <w:tcW w:w="13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52"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52" w:before="0" w:after="283"/>
              <w:jc w:val="right"/>
              <w:rPr>
                <w:rFonts w:ascii="Times New Roman;serif" w:hAnsi="Times New Roman;serif"/>
                <w:b w:val="false"/>
                <w:color w:val="000000"/>
                <w:sz w:val="20"/>
              </w:rPr>
            </w:pPr>
            <w:r>
              <w:rPr>
                <w:rFonts w:ascii="Times New Roman;serif" w:hAnsi="Times New Roman;serif"/>
                <w:b w:val="false"/>
                <w:color w:val="000000"/>
                <w:sz w:val="20"/>
              </w:rPr>
              <w:t>142,845 </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13" w:type="dxa"/>
            <w:gridSpan w:val="3"/>
            <w:tcBorders/>
            <w:shd w:fill="CCEEFF" w:val="clear"/>
            <w:tcMar>
              <w:top w:w="0" w:type="dxa"/>
              <w:left w:w="0" w:type="dxa"/>
              <w:bottom w:w="0" w:type="dxa"/>
              <w:right w:w="0" w:type="dxa"/>
            </w:tcMar>
            <w:vAlign w:val="center"/>
          </w:tcPr>
          <w:p>
            <w:pPr>
              <w:pStyle w:val="TableContents"/>
              <w:bidi w:val="0"/>
              <w:spacing w:lineRule="auto" w:line="252" w:before="0" w:after="283"/>
              <w:jc w:val="left"/>
              <w:rPr>
                <w:color w:val="000000"/>
              </w:rPr>
            </w:pPr>
            <w:r>
              <w:rPr>
                <w:color w:val="000000"/>
              </w:rPr>
              <w:t> </w:t>
            </w:r>
          </w:p>
        </w:tc>
        <w:tc>
          <w:tcPr>
            <w:tcW w:w="1146" w:type="dxa"/>
            <w:gridSpan w:val="3"/>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52" w:before="0" w:after="283"/>
              <w:jc w:val="lef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52" w:before="0" w:after="283"/>
              <w:jc w:val="lef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3"/>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52" w:before="0" w:after="283"/>
              <w:jc w:val="left"/>
              <w:rPr>
                <w:color w:val="000000"/>
              </w:rPr>
            </w:pPr>
            <w:r>
              <w:rPr>
                <w:color w:val="000000"/>
              </w:rPr>
              <w:t> </w:t>
            </w:r>
          </w:p>
        </w:tc>
      </w:tr>
      <w:tr>
        <w:trPr/>
        <w:tc>
          <w:tcPr>
            <w:tcW w:w="5113" w:type="dxa"/>
            <w:gridSpan w:val="3"/>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serif" w:hAnsi="Times New Roman;serif"/>
                <w:b w:val="false"/>
                <w:color w:val="000000"/>
                <w:sz w:val="20"/>
              </w:rPr>
            </w:pPr>
            <w:r>
              <w:rPr>
                <w:rFonts w:ascii="Times New Roman;serif" w:hAnsi="Times New Roman;serif"/>
                <w:b w:val="false"/>
                <w:color w:val="000000"/>
                <w:sz w:val="20"/>
              </w:rPr>
              <w:t>Classified as:</w:t>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13" w:type="dxa"/>
            <w:gridSpan w:val="3"/>
            <w:tcBorders/>
            <w:shd w:fill="CCEEFF" w:val="clear"/>
            <w:tcMar>
              <w:top w:w="0" w:type="dxa"/>
              <w:left w:w="0" w:type="dxa"/>
              <w:bottom w:w="0" w:type="dxa"/>
              <w:right w:w="0" w:type="dxa"/>
            </w:tcMar>
            <w:vAlign w:val="center"/>
          </w:tcPr>
          <w:p>
            <w:pPr>
              <w:pStyle w:val="TableContents"/>
              <w:bidi w:val="0"/>
              <w:spacing w:lineRule="auto" w:line="252" w:before="0" w:after="283"/>
              <w:jc w:val="left"/>
              <w:rPr>
                <w:rFonts w:ascii="Times New Roman;serif" w:hAnsi="Times New Roman;serif"/>
                <w:b w:val="false"/>
                <w:color w:val="000000"/>
                <w:sz w:val="20"/>
              </w:rPr>
            </w:pPr>
            <w:r>
              <w:rPr>
                <w:rFonts w:ascii="Times New Roman;serif" w:hAnsi="Times New Roman;serif"/>
                <w:b w:val="false"/>
                <w:color w:val="000000"/>
                <w:sz w:val="20"/>
              </w:rPr>
              <w:t>Cash and cash equivalents</w:t>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52"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52" w:before="0" w:after="283"/>
              <w:jc w:val="right"/>
              <w:rPr>
                <w:rFonts w:ascii="Times New Roman;serif" w:hAnsi="Times New Roman;serif"/>
                <w:b w:val="false"/>
                <w:color w:val="000000"/>
                <w:sz w:val="20"/>
              </w:rPr>
            </w:pPr>
            <w:r>
              <w:rPr>
                <w:rFonts w:ascii="Times New Roman;serif" w:hAnsi="Times New Roman;serif"/>
                <w:b w:val="false"/>
                <w:color w:val="000000"/>
                <w:sz w:val="20"/>
              </w:rPr>
              <w:t>12,360 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13" w:type="dxa"/>
            <w:gridSpan w:val="3"/>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serif" w:hAnsi="Times New Roman;serif"/>
                <w:b w:val="false"/>
                <w:color w:val="000000"/>
                <w:sz w:val="20"/>
              </w:rPr>
            </w:pPr>
            <w:r>
              <w:rPr>
                <w:rFonts w:ascii="Times New Roman;serif" w:hAnsi="Times New Roman;serif"/>
                <w:b w:val="false"/>
                <w:color w:val="000000"/>
                <w:sz w:val="20"/>
              </w:rPr>
              <w:t>Marketable securities, short-term</w:t>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serif" w:hAnsi="Times New Roman;serif"/>
                <w:b w:val="false"/>
                <w:color w:val="000000"/>
                <w:sz w:val="20"/>
              </w:rPr>
            </w:pPr>
            <w:r>
              <w:rPr>
                <w:rFonts w:ascii="Times New Roman;serif" w:hAnsi="Times New Roman;serif"/>
                <w:b w:val="false"/>
                <w:color w:val="000000"/>
                <w:sz w:val="20"/>
              </w:rPr>
              <w:t>126,980 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13" w:type="dxa"/>
            <w:gridSpan w:val="3"/>
            <w:tcBorders/>
            <w:shd w:fill="CCEEFF" w:val="clear"/>
            <w:tcMar>
              <w:top w:w="0" w:type="dxa"/>
              <w:left w:w="0" w:type="dxa"/>
              <w:bottom w:w="0" w:type="dxa"/>
              <w:right w:w="0" w:type="dxa"/>
            </w:tcMar>
            <w:vAlign w:val="center"/>
          </w:tcPr>
          <w:p>
            <w:pPr>
              <w:pStyle w:val="TableContents"/>
              <w:bidi w:val="0"/>
              <w:spacing w:lineRule="auto" w:line="252" w:before="0" w:after="283"/>
              <w:jc w:val="left"/>
              <w:rPr>
                <w:rFonts w:ascii="Times New Roman;serif" w:hAnsi="Times New Roman;serif"/>
                <w:b w:val="false"/>
                <w:color w:val="000000"/>
                <w:sz w:val="20"/>
              </w:rPr>
            </w:pPr>
            <w:r>
              <w:rPr>
                <w:rFonts w:ascii="Times New Roman;serif" w:hAnsi="Times New Roman;serif"/>
                <w:b w:val="false"/>
                <w:color w:val="000000"/>
                <w:sz w:val="20"/>
              </w:rPr>
              <w:t>Marketable securities, long-term</w:t>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52" w:before="0" w:after="283"/>
              <w:jc w:val="right"/>
              <w:rPr>
                <w:rFonts w:ascii="Times New Roman;serif" w:hAnsi="Times New Roman;serif"/>
                <w:b w:val="false"/>
                <w:color w:val="000000"/>
                <w:sz w:val="20"/>
              </w:rPr>
            </w:pPr>
            <w:r>
              <w:rPr>
                <w:rFonts w:ascii="Times New Roman;serif" w:hAnsi="Times New Roman;serif"/>
                <w:b w:val="false"/>
                <w:color w:val="000000"/>
                <w:sz w:val="20"/>
              </w:rPr>
              <w:t>3,505 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13" w:type="dxa"/>
            <w:gridSpan w:val="3"/>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serif" w:hAnsi="Times New Roman;serif"/>
                <w:b w:val="false"/>
                <w:color w:val="000000"/>
                <w:sz w:val="20"/>
              </w:rPr>
            </w:pPr>
            <w:r>
              <w:rPr>
                <w:rFonts w:ascii="Times New Roman;serif" w:hAnsi="Times New Roman;serif"/>
                <w:b w:val="false"/>
                <w:color w:val="000000"/>
                <w:sz w:val="20"/>
              </w:rPr>
              <w:t>Total cash equivalents and marketable securities</w:t>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52"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52" w:before="0" w:after="283"/>
              <w:jc w:val="right"/>
              <w:rPr>
                <w:rFonts w:ascii="Times New Roman;serif" w:hAnsi="Times New Roman;serif"/>
                <w:b w:val="false"/>
                <w:color w:val="000000"/>
                <w:sz w:val="20"/>
              </w:rPr>
            </w:pPr>
            <w:r>
              <w:rPr>
                <w:rFonts w:ascii="Times New Roman;serif" w:hAnsi="Times New Roman;serif"/>
                <w:b w:val="false"/>
                <w:color w:val="000000"/>
                <w:sz w:val="20"/>
              </w:rPr>
              <w:t>142,845 </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0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We reviewed each of our marketable securities as of March 31, 2026, and December 31, 2025, and concluded that any decline in fair value was not related to credit losses and is recoverable. Accordingly, no allowance for credit losses was recorded and the unrealized losses are reported as a component of accumulated other comprehensive income.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83"/>
        <w:jc w:val="left"/>
        <w:rPr>
          <w:rFonts w:ascii="Times New Roman;serif" w:hAnsi="Times New Roman;serif"/>
          <w:b/>
          <w:color w:val="000000"/>
          <w:sz w:val="20"/>
        </w:rPr>
      </w:pPr>
      <w:r>
        <w:rPr>
          <w:rFonts w:ascii="Times New Roman;serif" w:hAnsi="Times New Roman;serif"/>
          <w:b/>
          <w:color w:val="000000"/>
          <w:sz w:val="20"/>
        </w:rPr>
        <w:t>4. Significant Agreements</w:t>
      </w:r>
    </w:p>
    <w:p>
      <w:pPr>
        <w:pStyle w:val="TextBody"/>
        <w:bidi w:val="0"/>
        <w:spacing w:lineRule="auto" w:line="288" w:before="20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Since December 31, 2025, there have been no material changes to the key terms of our ongoing significant agreements. See Note 4 to the consolidated financial statements included in our Form 10-K for additional information about our ongoing significant agreements.</w:t>
      </w:r>
    </w:p>
    <w:p>
      <w:pPr>
        <w:pStyle w:val="TextBody"/>
        <w:bidi w:val="0"/>
        <w:spacing w:lineRule="auto" w:line="288" w:before="20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Our ongoing significant agreements may include nonrefundable, upfront payments; annual license maintenance fees; sublicensing fees; obligations to reimburse for patent prosecution and maintenance fees; success payments; regulatory clinical and commercial milestones; and royalty payments. Our obligation to make such payments is contingent on milestones being achieved, licensed products being commercialized, and the agreements remaining in effect.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6480175" cy="146685"/>
                <wp:effectExtent l="0" t="0" r="0" b="0"/>
                <wp:wrapNone/>
                <wp:docPr id="10" name="Frame1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8</w:t>
                      </w:r>
                    </w:p>
                  </w:txbxContent>
                </v:textbox>
                <w10:wrap type="none"/>
              </v:rect>
            </w:pict>
          </mc:Fallback>
        </mc:AlternateContent>
      </w:r>
    </w:p>
    <w:p>
      <w:pPr>
        <w:pStyle w:val="TextBody"/>
        <w:bidi w:val="0"/>
        <w:spacing w:lineRule="auto" w:line="288" w:before="0" w:after="0"/>
        <w:jc w:val="left"/>
        <w:rPr/>
      </w:pPr>
      <w:hyperlink w:anchor="i7f5619487a1149c59a3dd36fee75a584_7">
        <w:r>
          <w:rPr>
            <w:rStyle w:val="InternetLink"/>
            <w:rFonts w:ascii="Times New Roman;serif" w:hAnsi="Times New Roman;serif"/>
            <w:b w:val="false"/>
            <w:color w:val="0000FF"/>
            <w:sz w:val="20"/>
            <w:u w:val="single"/>
          </w:rPr>
          <w:t>Table of Contents</w:t>
        </w:r>
      </w:hyperlink>
    </w:p>
    <w:p>
      <w:pPr>
        <w:pStyle w:val="TextBody"/>
        <w:bidi w:val="0"/>
        <w:spacing w:lineRule="auto" w:line="288" w:before="20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For each of the three-month periods ended March 31, 2026, and March 31, 2025, we recorded $0.3 million as research and development expenses related to our license agreements. Patent prosecution and maintenance costs included in general and administrative expenses were $0.1 million and $0.2 million for the three months ended March 31, 2026, and March 31, 2025, respectively. These amounts include reimbursements of approximately $0.3 million and $0.2 million for the three months ended March 31, 2026, and March 31, 2025, respectively. </w:t>
      </w:r>
    </w:p>
    <w:p>
      <w:pPr>
        <w:pStyle w:val="TextBody"/>
        <w:bidi w:val="0"/>
        <w:spacing w:lineRule="auto" w:line="288" w:before="20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As of March 31, 2026, certain license and assignment agreements included potential future payments from us for development, regulatory, and sales milestones totaling approximately $48.9 million.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83"/>
        <w:jc w:val="left"/>
        <w:rPr>
          <w:rFonts w:ascii="Times New Roman;serif" w:hAnsi="Times New Roman;serif"/>
          <w:b/>
          <w:color w:val="000000"/>
          <w:sz w:val="20"/>
        </w:rPr>
      </w:pPr>
      <w:r>
        <w:rPr>
          <w:rFonts w:ascii="Times New Roman;serif" w:hAnsi="Times New Roman;serif"/>
          <w:b/>
          <w:color w:val="000000"/>
          <w:sz w:val="20"/>
        </w:rPr>
        <w:t>5. Revenue</w:t>
      </w:r>
    </w:p>
    <w:p>
      <w:pPr>
        <w:pStyle w:val="TextBody"/>
        <w:bidi w:val="0"/>
        <w:spacing w:lineRule="auto" w:line="288" w:before="200" w:after="283"/>
        <w:jc w:val="left"/>
        <w:rPr>
          <w:rFonts w:ascii="Times New Roman;serif" w:hAnsi="Times New Roman;serif"/>
          <w:b/>
          <w:i/>
          <w:color w:val="000000"/>
          <w:sz w:val="20"/>
        </w:rPr>
      </w:pPr>
      <w:r>
        <w:rPr>
          <w:rFonts w:ascii="Times New Roman;serif" w:hAnsi="Times New Roman;serif"/>
          <w:b/>
          <w:i/>
          <w:color w:val="000000"/>
          <w:sz w:val="20"/>
        </w:rPr>
        <w:t>Disaggregation of Revenue</w:t>
      </w:r>
    </w:p>
    <w:p>
      <w:pPr>
        <w:pStyle w:val="TextBody"/>
        <w:bidi w:val="0"/>
        <w:spacing w:lineRule="auto" w:line="288" w:before="20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We disaggregate revenue by geographical market based on the location of research and development activities of our licensees and other third parties. The following table is a summary of revenue by geographic location for the three months ended March 31, 2026, and March 31, 2025 (in thousands):</w:t>
      </w:r>
    </w:p>
    <w:tbl>
      <w:tblPr>
        <w:tblW w:w="4079" w:type="dxa"/>
        <w:jc w:val="left"/>
        <w:tblInd w:w="0" w:type="dxa"/>
        <w:tblLayout w:type="fixed"/>
        <w:tblCellMar>
          <w:top w:w="28" w:type="dxa"/>
          <w:left w:w="28" w:type="dxa"/>
          <w:bottom w:w="28" w:type="dxa"/>
          <w:right w:w="28" w:type="dxa"/>
        </w:tblCellMar>
      </w:tblPr>
      <w:tblGrid>
        <w:gridCol w:w="435"/>
        <w:gridCol w:w="381"/>
        <w:gridCol w:w="383"/>
        <w:gridCol w:w="230"/>
        <w:gridCol w:w="672"/>
        <w:gridCol w:w="119"/>
        <w:gridCol w:w="119"/>
        <w:gridCol w:w="119"/>
        <w:gridCol w:w="119"/>
        <w:gridCol w:w="230"/>
        <w:gridCol w:w="672"/>
        <w:gridCol w:w="119"/>
        <w:gridCol w:w="109"/>
        <w:gridCol w:w="109"/>
        <w:gridCol w:w="109"/>
        <w:gridCol w:w="154"/>
      </w:tblGrid>
      <w:tr>
        <w:trPr/>
        <w:tc>
          <w:tcPr>
            <w:tcW w:w="435" w:type="dxa"/>
            <w:tcBorders/>
            <w:vAlign w:val="center"/>
          </w:tcPr>
          <w:p>
            <w:pPr>
              <w:pStyle w:val="TableContents"/>
              <w:bidi w:val="0"/>
              <w:spacing w:before="0" w:after="283"/>
              <w:jc w:val="left"/>
              <w:rPr>
                <w:sz w:val="4"/>
                <w:szCs w:val="4"/>
              </w:rPr>
            </w:pPr>
            <w:r>
              <w:rPr>
                <w:sz w:val="4"/>
                <w:szCs w:val="4"/>
              </w:rPr>
            </w:r>
          </w:p>
        </w:tc>
        <w:tc>
          <w:tcPr>
            <w:tcW w:w="381" w:type="dxa"/>
            <w:tcBorders/>
            <w:vAlign w:val="center"/>
          </w:tcPr>
          <w:p>
            <w:pPr>
              <w:pStyle w:val="TableContents"/>
              <w:bidi w:val="0"/>
              <w:spacing w:before="0" w:after="283"/>
              <w:jc w:val="left"/>
              <w:rPr>
                <w:sz w:val="4"/>
                <w:szCs w:val="4"/>
              </w:rPr>
            </w:pPr>
            <w:r>
              <w:rPr>
                <w:sz w:val="4"/>
                <w:szCs w:val="4"/>
              </w:rPr>
            </w:r>
          </w:p>
        </w:tc>
        <w:tc>
          <w:tcPr>
            <w:tcW w:w="383"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672"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672"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99" w:type="dxa"/>
            <w:gridSpan w:val="3"/>
            <w:tcBorders/>
            <w:tcMar>
              <w:top w:w="0" w:type="dxa"/>
              <w:left w:w="0" w:type="dxa"/>
              <w:bottom w:w="0" w:type="dxa"/>
              <w:right w:w="0" w:type="dxa"/>
            </w:tcMar>
            <w:vAlign w:val="center"/>
          </w:tcPr>
          <w:p>
            <w:pPr>
              <w:pStyle w:val="TableContents"/>
              <w:bidi w:val="0"/>
              <w:spacing w:lineRule="auto" w:line="252" w:before="0" w:after="283"/>
              <w:jc w:val="left"/>
              <w:rPr>
                <w:color w:val="000000"/>
              </w:rPr>
            </w:pPr>
            <w:r>
              <w:rPr>
                <w:color w:val="000000"/>
              </w:rPr>
              <w:t> </w:t>
            </w:r>
          </w:p>
        </w:tc>
        <w:tc>
          <w:tcPr>
            <w:tcW w:w="2399" w:type="dxa"/>
            <w:gridSpan w:val="9"/>
            <w:tcBorders/>
            <w:tcMar>
              <w:top w:w="0" w:type="dxa"/>
              <w:left w:w="0" w:type="dxa"/>
              <w:bottom w:w="0" w:type="dxa"/>
              <w:right w:w="0" w:type="dxa"/>
            </w:tcMar>
            <w:vAlign w:val="center"/>
          </w:tcPr>
          <w:p>
            <w:pPr>
              <w:pStyle w:val="TableContents"/>
              <w:bidi w:val="0"/>
              <w:spacing w:lineRule="auto" w:line="252" w:before="0" w:after="283"/>
              <w:jc w:val="center"/>
              <w:rPr>
                <w:rFonts w:ascii="Times New Roman;serif" w:hAnsi="Times New Roman;serif"/>
                <w:b/>
                <w:color w:val="000000"/>
                <w:sz w:val="16"/>
              </w:rPr>
            </w:pPr>
            <w:r>
              <w:rPr>
                <w:rFonts w:ascii="Times New Roman;serif" w:hAnsi="Times New Roman;serif"/>
                <w:b/>
                <w:color w:val="000000"/>
                <w:sz w:val="16"/>
              </w:rPr>
              <w:t>Three Months Ended March 31,</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1199" w:type="dxa"/>
            <w:gridSpan w:val="3"/>
            <w:tcBorders/>
            <w:tcMar>
              <w:top w:w="0" w:type="dxa"/>
              <w:left w:w="0" w:type="dxa"/>
              <w:bottom w:w="0" w:type="dxa"/>
              <w:right w:w="0" w:type="dxa"/>
            </w:tcMar>
            <w:vAlign w:val="center"/>
          </w:tcPr>
          <w:p>
            <w:pPr>
              <w:pStyle w:val="TableContents"/>
              <w:bidi w:val="0"/>
              <w:spacing w:lineRule="auto" w:line="252" w:before="0" w:after="283"/>
              <w:jc w:val="left"/>
              <w:rPr>
                <w:color w:val="000000"/>
              </w:rPr>
            </w:pPr>
            <w:r>
              <w:rPr>
                <w:color w:val="000000"/>
              </w:rPr>
              <w:t> </w:t>
            </w:r>
          </w:p>
        </w:tc>
        <w:tc>
          <w:tcPr>
            <w:tcW w:w="102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52"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5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52"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99" w:type="dxa"/>
            <w:gridSpan w:val="3"/>
            <w:tcBorders/>
            <w:shd w:fill="CCEEFF" w:val="clear"/>
            <w:tcMar>
              <w:top w:w="0" w:type="dxa"/>
              <w:left w:w="0" w:type="dxa"/>
              <w:bottom w:w="0" w:type="dxa"/>
              <w:right w:w="0" w:type="dxa"/>
            </w:tcMar>
            <w:vAlign w:val="center"/>
          </w:tcPr>
          <w:p>
            <w:pPr>
              <w:pStyle w:val="TableContents"/>
              <w:bidi w:val="0"/>
              <w:spacing w:lineRule="auto" w:line="252" w:before="0" w:after="283"/>
              <w:jc w:val="left"/>
              <w:rPr>
                <w:rFonts w:ascii="Times New Roman;serif" w:hAnsi="Times New Roman;serif"/>
                <w:b w:val="false"/>
                <w:color w:val="000000"/>
                <w:sz w:val="20"/>
              </w:rPr>
            </w:pPr>
            <w:r>
              <w:rPr>
                <w:rFonts w:ascii="Times New Roman;serif" w:hAnsi="Times New Roman;serif"/>
                <w:b w:val="false"/>
                <w:color w:val="000000"/>
                <w:sz w:val="20"/>
              </w:rPr>
              <w:t>United States</w:t>
            </w:r>
          </w:p>
        </w:tc>
        <w:tc>
          <w:tcPr>
            <w:tcW w:w="23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52"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7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52" w:before="0" w:after="283"/>
              <w:jc w:val="right"/>
              <w:rPr>
                <w:rFonts w:ascii="Times New Roman;serif" w:hAnsi="Times New Roman;serif"/>
                <w:b w:val="false"/>
                <w:color w:val="000000"/>
                <w:sz w:val="20"/>
              </w:rPr>
            </w:pPr>
            <w:r>
              <w:rPr>
                <w:rFonts w:ascii="Times New Roman;serif" w:hAnsi="Times New Roman;serif"/>
                <w:b w:val="false"/>
                <w:color w:val="000000"/>
                <w:sz w:val="20"/>
              </w:rPr>
              <w:t>2,257 </w:t>
            </w:r>
          </w:p>
        </w:tc>
        <w:tc>
          <w:tcPr>
            <w:tcW w:w="11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52"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7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52" w:before="0" w:after="283"/>
              <w:jc w:val="right"/>
              <w:rPr>
                <w:rFonts w:ascii="Times New Roman;serif" w:hAnsi="Times New Roman;serif"/>
                <w:b w:val="false"/>
                <w:color w:val="000000"/>
                <w:sz w:val="20"/>
              </w:rPr>
            </w:pPr>
            <w:r>
              <w:rPr>
                <w:rFonts w:ascii="Times New Roman;serif" w:hAnsi="Times New Roman;serif"/>
                <w:b w:val="false"/>
                <w:color w:val="000000"/>
                <w:sz w:val="20"/>
              </w:rPr>
              <w:t>2,224 </w:t>
            </w:r>
          </w:p>
        </w:tc>
        <w:tc>
          <w:tcPr>
            <w:tcW w:w="11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99" w:type="dxa"/>
            <w:gridSpan w:val="3"/>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serif" w:hAnsi="Times New Roman;serif"/>
                <w:b w:val="false"/>
                <w:color w:val="000000"/>
                <w:sz w:val="20"/>
              </w:rPr>
            </w:pPr>
            <w:r>
              <w:rPr>
                <w:rFonts w:ascii="Times New Roman;serif" w:hAnsi="Times New Roman;serif"/>
                <w:b w:val="false"/>
                <w:color w:val="000000"/>
                <w:sz w:val="20"/>
              </w:rPr>
              <w:t>Rest of world</w:t>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serif" w:hAnsi="Times New Roman;serif"/>
                <w:b w:val="false"/>
                <w:color w:val="000000"/>
                <w:sz w:val="20"/>
              </w:rPr>
            </w:pPr>
            <w:r>
              <w:rPr>
                <w:rFonts w:ascii="Times New Roman;serif" w:hAnsi="Times New Roman;serif"/>
                <w:b w:val="false"/>
                <w:color w:val="000000"/>
                <w:sz w:val="20"/>
              </w:rPr>
              <w:t>140 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serif" w:hAnsi="Times New Roman;serif"/>
                <w:b w:val="false"/>
                <w:color w:val="000000"/>
                <w:sz w:val="20"/>
              </w:rPr>
            </w:pPr>
            <w:r>
              <w:rPr>
                <w:rFonts w:ascii="Times New Roman;serif" w:hAnsi="Times New Roman;serif"/>
                <w:b w:val="false"/>
                <w:color w:val="000000"/>
                <w:sz w:val="20"/>
              </w:rPr>
              <w:t>129 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99" w:type="dxa"/>
            <w:gridSpan w:val="3"/>
            <w:tcBorders/>
            <w:shd w:fill="CCEEFF" w:val="clear"/>
            <w:tcMar>
              <w:top w:w="0" w:type="dxa"/>
              <w:left w:w="0" w:type="dxa"/>
              <w:bottom w:w="0" w:type="dxa"/>
              <w:right w:w="0" w:type="dxa"/>
            </w:tcMar>
            <w:vAlign w:val="center"/>
          </w:tcPr>
          <w:p>
            <w:pPr>
              <w:pStyle w:val="TableContents"/>
              <w:bidi w:val="0"/>
              <w:spacing w:lineRule="auto" w:line="252"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23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52"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7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52" w:before="0" w:after="283"/>
              <w:jc w:val="right"/>
              <w:rPr>
                <w:rFonts w:ascii="Times New Roman;serif" w:hAnsi="Times New Roman;serif"/>
                <w:b w:val="false"/>
                <w:color w:val="000000"/>
                <w:sz w:val="20"/>
              </w:rPr>
            </w:pPr>
            <w:r>
              <w:rPr>
                <w:rFonts w:ascii="Times New Roman;serif" w:hAnsi="Times New Roman;serif"/>
                <w:b w:val="false"/>
                <w:color w:val="000000"/>
                <w:sz w:val="20"/>
              </w:rPr>
              <w:t>2,397 </w:t>
            </w:r>
          </w:p>
        </w:tc>
        <w:tc>
          <w:tcPr>
            <w:tcW w:w="11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52"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7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52" w:before="0" w:after="283"/>
              <w:jc w:val="right"/>
              <w:rPr>
                <w:rFonts w:ascii="Times New Roman;serif" w:hAnsi="Times New Roman;serif"/>
                <w:b w:val="false"/>
                <w:color w:val="000000"/>
                <w:sz w:val="20"/>
              </w:rPr>
            </w:pPr>
            <w:r>
              <w:rPr>
                <w:rFonts w:ascii="Times New Roman;serif" w:hAnsi="Times New Roman;serif"/>
                <w:b w:val="false"/>
                <w:color w:val="000000"/>
                <w:sz w:val="20"/>
              </w:rPr>
              <w:t>2,353 </w:t>
            </w:r>
          </w:p>
        </w:tc>
        <w:tc>
          <w:tcPr>
            <w:tcW w:w="11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0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For each of the three-month periods ended March 31, 2026, and March 31, 2025, we recognized $1.8 million of revenue related to performance obligations satisfied at a point in time, and we recognized $0.6 million of revenue related to performance obligations satisfied over time. </w:t>
      </w:r>
    </w:p>
    <w:p>
      <w:pPr>
        <w:pStyle w:val="TextBody"/>
        <w:bidi w:val="0"/>
        <w:spacing w:lineRule="auto" w:line="288" w:before="200" w:after="283"/>
        <w:jc w:val="left"/>
        <w:rPr>
          <w:rFonts w:ascii="Times New Roman;serif" w:hAnsi="Times New Roman;serif"/>
          <w:b/>
          <w:i/>
          <w:color w:val="000000"/>
          <w:sz w:val="20"/>
        </w:rPr>
      </w:pPr>
      <w:r>
        <w:rPr>
          <w:rFonts w:ascii="Times New Roman;serif" w:hAnsi="Times New Roman;serif"/>
          <w:b/>
          <w:i/>
          <w:color w:val="000000"/>
          <w:sz w:val="20"/>
        </w:rPr>
        <w:t>Contract Balances</w:t>
      </w:r>
    </w:p>
    <w:p>
      <w:pPr>
        <w:pStyle w:val="TextBody"/>
        <w:bidi w:val="0"/>
        <w:spacing w:lineRule="auto" w:line="288" w:before="20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Accounts receivable relate to our right to consideration for performance obligations completed (or partially completed) for which we have an unconditional right to consideration. Our accounts receivable balances represent amounts we billed to our licensees with invoices outstanding as of the end of a reporting period.</w:t>
      </w:r>
    </w:p>
    <w:p>
      <w:pPr>
        <w:pStyle w:val="TextBody"/>
        <w:bidi w:val="0"/>
        <w:spacing w:lineRule="auto" w:line="288" w:before="20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Contract assets are rights to consideration in exchange for a license that we have granted to a licensee when the right is conditional on something other than the passage of time. Our contract asset balances represent royalties and milestone payments from our other license agreements that are unbilled as of the end of a reporting period.</w:t>
      </w:r>
    </w:p>
    <w:p>
      <w:pPr>
        <w:pStyle w:val="TextBody"/>
        <w:bidi w:val="0"/>
        <w:spacing w:lineRule="auto" w:line="288" w:before="20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Contract liabilities consist of deferred revenue and relate to amounts invoiced to, or advance consideration received from, licensees and other third parties that precede our satisfaction of the associated performance obligations. As of March 31, 2026, and December 31, 2025, our deferred revenue balance primarily resulted from the upfront payment received in 2023 relating to our performance obligation to Pfizer Inc. (“Pfizer”). The remaining deferred revenue relates to upfront payments received under license agreements that also include nonrefundable annual license fees, which are accounted for as material rights for license renewals and are recognized at the point in time when annual license fees are paid by the licensees and the renewal periods begin.</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6480175" cy="146685"/>
                <wp:effectExtent l="0" t="0" r="0" b="0"/>
                <wp:wrapNone/>
                <wp:docPr id="11" name="Frame1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9</w:t>
                      </w:r>
                    </w:p>
                  </w:txbxContent>
                </v:textbox>
                <w10:wrap type="none"/>
              </v:rect>
            </w:pict>
          </mc:Fallback>
        </mc:AlternateContent>
      </w:r>
    </w:p>
    <w:p>
      <w:pPr>
        <w:pStyle w:val="TextBody"/>
        <w:bidi w:val="0"/>
        <w:spacing w:lineRule="auto" w:line="288" w:before="0" w:after="0"/>
        <w:jc w:val="left"/>
        <w:rPr/>
      </w:pPr>
      <w:hyperlink w:anchor="i7f5619487a1149c59a3dd36fee75a584_7">
        <w:r>
          <w:rPr>
            <w:rStyle w:val="InternetLink"/>
            <w:rFonts w:ascii="Times New Roman;serif" w:hAnsi="Times New Roman;serif"/>
            <w:b w:val="false"/>
            <w:color w:val="0000FF"/>
            <w:sz w:val="20"/>
            <w:u w:val="single"/>
          </w:rPr>
          <w:t>Table of Contents</w:t>
        </w:r>
      </w:hyperlink>
    </w:p>
    <w:p>
      <w:pPr>
        <w:pStyle w:val="TextBody"/>
        <w:bidi w:val="0"/>
        <w:spacing w:lineRule="auto" w:line="288" w:before="20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The following table presents changes in our contract assets and liabilities for the three months ended March 31, 2026 (in thousands): </w:t>
      </w:r>
    </w:p>
    <w:tbl>
      <w:tblPr>
        <w:tblW w:w="8476" w:type="dxa"/>
        <w:jc w:val="left"/>
        <w:tblInd w:w="0" w:type="dxa"/>
        <w:tblLayout w:type="fixed"/>
        <w:tblCellMar>
          <w:top w:w="28" w:type="dxa"/>
          <w:left w:w="28" w:type="dxa"/>
          <w:bottom w:w="28" w:type="dxa"/>
          <w:right w:w="28" w:type="dxa"/>
        </w:tblCellMar>
      </w:tblPr>
      <w:tblGrid>
        <w:gridCol w:w="1212"/>
        <w:gridCol w:w="1064"/>
        <w:gridCol w:w="1068"/>
        <w:gridCol w:w="247"/>
        <w:gridCol w:w="721"/>
        <w:gridCol w:w="127"/>
        <w:gridCol w:w="109"/>
        <w:gridCol w:w="109"/>
        <w:gridCol w:w="109"/>
        <w:gridCol w:w="211"/>
        <w:gridCol w:w="616"/>
        <w:gridCol w:w="109"/>
        <w:gridCol w:w="109"/>
        <w:gridCol w:w="109"/>
        <w:gridCol w:w="109"/>
        <w:gridCol w:w="211"/>
        <w:gridCol w:w="691"/>
        <w:gridCol w:w="109"/>
        <w:gridCol w:w="109"/>
        <w:gridCol w:w="109"/>
        <w:gridCol w:w="109"/>
        <w:gridCol w:w="238"/>
        <w:gridCol w:w="697"/>
        <w:gridCol w:w="174"/>
      </w:tblGrid>
      <w:tr>
        <w:trPr/>
        <w:tc>
          <w:tcPr>
            <w:tcW w:w="1212" w:type="dxa"/>
            <w:tcBorders/>
            <w:vAlign w:val="center"/>
          </w:tcPr>
          <w:p>
            <w:pPr>
              <w:pStyle w:val="TableContents"/>
              <w:bidi w:val="0"/>
              <w:spacing w:before="0" w:after="283"/>
              <w:jc w:val="left"/>
              <w:rPr>
                <w:sz w:val="4"/>
                <w:szCs w:val="4"/>
              </w:rPr>
            </w:pPr>
            <w:r>
              <w:rPr>
                <w:sz w:val="4"/>
                <w:szCs w:val="4"/>
              </w:rPr>
            </w:r>
          </w:p>
        </w:tc>
        <w:tc>
          <w:tcPr>
            <w:tcW w:w="1064" w:type="dxa"/>
            <w:tcBorders/>
            <w:vAlign w:val="center"/>
          </w:tcPr>
          <w:p>
            <w:pPr>
              <w:pStyle w:val="TableContents"/>
              <w:bidi w:val="0"/>
              <w:spacing w:before="0" w:after="283"/>
              <w:jc w:val="left"/>
              <w:rPr>
                <w:sz w:val="4"/>
                <w:szCs w:val="4"/>
              </w:rPr>
            </w:pPr>
            <w:r>
              <w:rPr>
                <w:sz w:val="4"/>
                <w:szCs w:val="4"/>
              </w:rPr>
            </w:r>
          </w:p>
        </w:tc>
        <w:tc>
          <w:tcPr>
            <w:tcW w:w="1068" w:type="dxa"/>
            <w:tcBorders/>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8" w:type="dxa"/>
            <w:tcBorders/>
            <w:vAlign w:val="center"/>
          </w:tcPr>
          <w:p>
            <w:pPr>
              <w:pStyle w:val="TableContents"/>
              <w:bidi w:val="0"/>
              <w:spacing w:before="0" w:after="283"/>
              <w:jc w:val="left"/>
              <w:rPr>
                <w:sz w:val="4"/>
                <w:szCs w:val="4"/>
              </w:rPr>
            </w:pPr>
            <w:r>
              <w:rPr>
                <w:sz w:val="4"/>
                <w:szCs w:val="4"/>
              </w:rPr>
            </w:r>
          </w:p>
        </w:tc>
        <w:tc>
          <w:tcPr>
            <w:tcW w:w="697" w:type="dxa"/>
            <w:tcBorders/>
            <w:vAlign w:val="center"/>
          </w:tcPr>
          <w:p>
            <w:pPr>
              <w:pStyle w:val="TableContents"/>
              <w:bidi w:val="0"/>
              <w:spacing w:before="0" w:after="283"/>
              <w:jc w:val="left"/>
              <w:rPr>
                <w:sz w:val="4"/>
                <w:szCs w:val="4"/>
              </w:rPr>
            </w:pPr>
            <w:r>
              <w:rPr>
                <w:sz w:val="4"/>
                <w:szCs w:val="4"/>
              </w:rPr>
            </w:r>
          </w:p>
        </w:tc>
        <w:tc>
          <w:tcPr>
            <w:tcW w:w="174" w:type="dxa"/>
            <w:tcBorders/>
            <w:vAlign w:val="center"/>
          </w:tcPr>
          <w:p>
            <w:pPr>
              <w:pStyle w:val="TableContents"/>
              <w:bidi w:val="0"/>
              <w:spacing w:before="0" w:after="283"/>
              <w:jc w:val="left"/>
              <w:rPr>
                <w:sz w:val="4"/>
                <w:szCs w:val="4"/>
              </w:rPr>
            </w:pPr>
            <w:r>
              <w:rPr>
                <w:sz w:val="4"/>
                <w:szCs w:val="4"/>
              </w:rPr>
            </w:r>
          </w:p>
        </w:tc>
      </w:tr>
      <w:tr>
        <w:trPr/>
        <w:tc>
          <w:tcPr>
            <w:tcW w:w="33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Balance as of</w:t>
              <w:br/>
              <w:t>December 31,</w:t>
              <w:b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lineRule="auto" w:line="252" w:before="0" w:after="283"/>
              <w:jc w:val="center"/>
              <w:rPr>
                <w:rFonts w:ascii="Times New Roman;serif" w:hAnsi="Times New Roman;serif"/>
                <w:b/>
                <w:color w:val="000000"/>
                <w:sz w:val="16"/>
              </w:rPr>
            </w:pPr>
            <w:r>
              <w:rPr>
                <w:rFonts w:ascii="Times New Roman;serif" w:hAnsi="Times New Roman;serif"/>
                <w:b/>
                <w:color w:val="000000"/>
                <w:sz w:val="16"/>
              </w:rPr>
              <w:t>Additions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cMar>
              <w:top w:w="0" w:type="dxa"/>
              <w:left w:w="0" w:type="dxa"/>
              <w:bottom w:w="0" w:type="dxa"/>
              <w:right w:w="0" w:type="dxa"/>
            </w:tcMar>
            <w:vAlign w:val="center"/>
          </w:tcPr>
          <w:p>
            <w:pPr>
              <w:pStyle w:val="TableContents"/>
              <w:bidi w:val="0"/>
              <w:spacing w:lineRule="auto" w:line="252" w:before="0" w:after="0"/>
              <w:jc w:val="center"/>
              <w:rPr/>
            </w:pPr>
            <w:r>
              <w:rPr>
                <w:rFonts w:ascii="Times New Roman;serif" w:hAnsi="Times New Roman;serif"/>
                <w:b/>
                <w:color w:val="000000"/>
                <w:sz w:val="16"/>
              </w:rPr>
              <w:t>Deductions</w:t>
            </w:r>
            <w:r>
              <w:rPr>
                <w:color w:val="000000"/>
              </w:rPr>
              <w:t xml:space="preserve">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Balance as of</w:t>
              <w:br/>
              <w:t>March 31,</w:t>
              <w:br/>
              <w:t>2026</w:t>
            </w:r>
          </w:p>
        </w:tc>
      </w:tr>
      <w:tr>
        <w:trPr/>
        <w:tc>
          <w:tcPr>
            <w:tcW w:w="3344" w:type="dxa"/>
            <w:gridSpan w:val="3"/>
            <w:tcBorders/>
            <w:shd w:fill="CCEEFF" w:val="clear"/>
            <w:tcMar>
              <w:top w:w="0" w:type="dxa"/>
              <w:left w:w="0" w:type="dxa"/>
              <w:bottom w:w="0" w:type="dxa"/>
              <w:right w:w="0" w:type="dxa"/>
            </w:tcMar>
            <w:vAlign w:val="center"/>
          </w:tcPr>
          <w:p>
            <w:pPr>
              <w:pStyle w:val="TableContents"/>
              <w:bidi w:val="0"/>
              <w:spacing w:lineRule="auto" w:line="252" w:before="0" w:after="283"/>
              <w:jc w:val="left"/>
              <w:rPr>
                <w:rFonts w:ascii="Times New Roman;serif" w:hAnsi="Times New Roman;serif"/>
                <w:b w:val="false"/>
                <w:color w:val="000000"/>
                <w:sz w:val="20"/>
              </w:rPr>
            </w:pPr>
            <w:r>
              <w:rPr>
                <w:rFonts w:ascii="Times New Roman;serif" w:hAnsi="Times New Roman;serif"/>
                <w:b w:val="false"/>
                <w:color w:val="000000"/>
                <w:sz w:val="20"/>
              </w:rPr>
              <w:t>Accounts receivable</w:t>
            </w:r>
          </w:p>
        </w:tc>
        <w:tc>
          <w:tcPr>
            <w:tcW w:w="24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52"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52" w:before="0" w:after="283"/>
              <w:jc w:val="right"/>
              <w:rPr>
                <w:rFonts w:ascii="Times New Roman;serif" w:hAnsi="Times New Roman;serif"/>
                <w:b w:val="false"/>
                <w:color w:val="000000"/>
                <w:sz w:val="20"/>
              </w:rPr>
            </w:pPr>
            <w:r>
              <w:rPr>
                <w:rFonts w:ascii="Times New Roman;serif" w:hAnsi="Times New Roman;serif"/>
                <w:b w:val="false"/>
                <w:color w:val="000000"/>
                <w:sz w:val="20"/>
              </w:rPr>
              <w:t>69 </w:t>
            </w:r>
          </w:p>
        </w:tc>
        <w:tc>
          <w:tcPr>
            <w:tcW w:w="12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52"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52" w:before="0" w:after="283"/>
              <w:jc w:val="right"/>
              <w:rPr>
                <w:rFonts w:ascii="Times New Roman;serif" w:hAnsi="Times New Roman;serif"/>
                <w:b w:val="false"/>
                <w:color w:val="000000"/>
                <w:sz w:val="20"/>
              </w:rPr>
            </w:pPr>
            <w:r>
              <w:rPr>
                <w:rFonts w:ascii="Times New Roman;serif" w:hAnsi="Times New Roman;serif"/>
                <w:b w:val="false"/>
                <w:color w:val="000000"/>
                <w:sz w:val="20"/>
              </w:rPr>
              <w:t>1,709 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52"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52" w:before="0" w:after="283"/>
              <w:jc w:val="right"/>
              <w:rPr>
                <w:rFonts w:ascii="Times New Roman;serif" w:hAnsi="Times New Roman;serif"/>
                <w:b w:val="false"/>
                <w:color w:val="000000"/>
                <w:sz w:val="20"/>
              </w:rPr>
            </w:pPr>
            <w:r>
              <w:rPr>
                <w:rFonts w:ascii="Times New Roman;serif" w:hAnsi="Times New Roman;serif"/>
                <w:b w:val="false"/>
                <w:color w:val="000000"/>
                <w:sz w:val="20"/>
              </w:rPr>
              <w:t>(1,551)</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52"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52" w:before="0" w:after="283"/>
              <w:jc w:val="right"/>
              <w:rPr>
                <w:rFonts w:ascii="Times New Roman;serif" w:hAnsi="Times New Roman;serif"/>
                <w:b w:val="false"/>
                <w:color w:val="000000"/>
                <w:sz w:val="20"/>
              </w:rPr>
            </w:pPr>
            <w:r>
              <w:rPr>
                <w:rFonts w:ascii="Times New Roman;serif" w:hAnsi="Times New Roman;serif"/>
                <w:b w:val="false"/>
                <w:color w:val="000000"/>
                <w:sz w:val="20"/>
              </w:rPr>
              <w:t>227 </w:t>
            </w:r>
          </w:p>
        </w:tc>
        <w:tc>
          <w:tcPr>
            <w:tcW w:w="17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4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5"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9"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44" w:type="dxa"/>
            <w:gridSpan w:val="3"/>
            <w:tcBorders/>
            <w:shd w:fill="CCEEFF" w:val="clear"/>
            <w:tcMar>
              <w:top w:w="0" w:type="dxa"/>
              <w:left w:w="0" w:type="dxa"/>
              <w:bottom w:w="0" w:type="dxa"/>
              <w:right w:w="0" w:type="dxa"/>
            </w:tcMar>
            <w:vAlign w:val="center"/>
          </w:tcPr>
          <w:p>
            <w:pPr>
              <w:pStyle w:val="TableContents"/>
              <w:bidi w:val="0"/>
              <w:spacing w:lineRule="auto" w:line="252" w:before="0" w:after="283"/>
              <w:jc w:val="left"/>
              <w:rPr>
                <w:rFonts w:ascii="Times New Roman;serif" w:hAnsi="Times New Roman;serif"/>
                <w:b w:val="false"/>
                <w:color w:val="000000"/>
                <w:sz w:val="20"/>
              </w:rPr>
            </w:pPr>
            <w:r>
              <w:rPr>
                <w:rFonts w:ascii="Times New Roman;serif" w:hAnsi="Times New Roman;serif"/>
                <w:b w:val="false"/>
                <w:color w:val="000000"/>
                <w:sz w:val="20"/>
              </w:rPr>
              <w:t>Contract assets:</w:t>
            </w:r>
          </w:p>
        </w:tc>
        <w:tc>
          <w:tcPr>
            <w:tcW w:w="109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44" w:type="dxa"/>
            <w:gridSpan w:val="3"/>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serif" w:hAnsi="Times New Roman;serif"/>
                <w:b w:val="false"/>
                <w:color w:val="000000"/>
                <w:sz w:val="20"/>
              </w:rPr>
            </w:pPr>
            <w:r>
              <w:rPr>
                <w:rFonts w:ascii="Times New Roman;serif" w:hAnsi="Times New Roman;serif"/>
                <w:b w:val="false"/>
                <w:color w:val="000000"/>
                <w:sz w:val="20"/>
              </w:rPr>
              <w:t>Unbilled accounts receivable</w:t>
            </w:r>
          </w:p>
        </w:tc>
        <w:tc>
          <w:tcPr>
            <w:tcW w:w="247"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serif" w:hAnsi="Times New Roman;serif"/>
                <w:b w:val="false"/>
                <w:color w:val="000000"/>
                <w:sz w:val="20"/>
              </w:rPr>
            </w:pPr>
            <w:r>
              <w:rPr>
                <w:rFonts w:ascii="Times New Roman;serif" w:hAnsi="Times New Roman;serif"/>
                <w:b w:val="false"/>
                <w:color w:val="000000"/>
                <w:sz w:val="20"/>
              </w:rPr>
              <w:t>1,006 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serif" w:hAnsi="Times New Roman;serif"/>
                <w:b w:val="false"/>
                <w:color w:val="000000"/>
                <w:sz w:val="20"/>
              </w:rPr>
            </w:pPr>
            <w:r>
              <w:rPr>
                <w:rFonts w:ascii="Times New Roman;serif" w:hAnsi="Times New Roman;serif"/>
                <w:b w:val="false"/>
                <w:color w:val="000000"/>
                <w:sz w:val="20"/>
              </w:rPr>
              <w:t>691 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1"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serif" w:hAnsi="Times New Roman;serif"/>
                <w:b w:val="false"/>
                <w:color w:val="000000"/>
                <w:sz w:val="20"/>
              </w:rPr>
            </w:pPr>
            <w:r>
              <w:rPr>
                <w:rFonts w:ascii="Times New Roman;serif" w:hAnsi="Times New Roman;serif"/>
                <w:b w:val="false"/>
                <w:color w:val="000000"/>
                <w:sz w:val="20"/>
              </w:rPr>
              <w:t>(1,006)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7"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serif" w:hAnsi="Times New Roman;serif"/>
                <w:b w:val="false"/>
                <w:color w:val="000000"/>
                <w:sz w:val="20"/>
              </w:rPr>
            </w:pPr>
            <w:r>
              <w:rPr>
                <w:rFonts w:ascii="Times New Roman;serif" w:hAnsi="Times New Roman;serif"/>
                <w:b w:val="false"/>
                <w:color w:val="000000"/>
                <w:sz w:val="20"/>
              </w:rPr>
              <w:t>691 </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4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5"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9"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44" w:type="dxa"/>
            <w:gridSpan w:val="3"/>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serif" w:hAnsi="Times New Roman;serif"/>
                <w:b w:val="false"/>
                <w:color w:val="000000"/>
                <w:sz w:val="20"/>
              </w:rPr>
            </w:pPr>
            <w:r>
              <w:rPr>
                <w:rFonts w:ascii="Times New Roman;serif" w:hAnsi="Times New Roman;serif"/>
                <w:b w:val="false"/>
                <w:color w:val="000000"/>
                <w:sz w:val="20"/>
              </w:rPr>
              <w:t>Contract liabilities:</w:t>
            </w:r>
          </w:p>
        </w:tc>
        <w:tc>
          <w:tcPr>
            <w:tcW w:w="109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44" w:type="dxa"/>
            <w:gridSpan w:val="3"/>
            <w:tcBorders/>
            <w:shd w:fill="CCEEFF" w:val="clear"/>
            <w:tcMar>
              <w:top w:w="0" w:type="dxa"/>
              <w:left w:w="0" w:type="dxa"/>
              <w:bottom w:w="0" w:type="dxa"/>
              <w:right w:w="0" w:type="dxa"/>
            </w:tcMar>
            <w:vAlign w:val="center"/>
          </w:tcPr>
          <w:p>
            <w:pPr>
              <w:pStyle w:val="TableContents"/>
              <w:bidi w:val="0"/>
              <w:spacing w:lineRule="auto" w:line="252" w:before="0" w:after="283"/>
              <w:jc w:val="left"/>
              <w:rPr>
                <w:rFonts w:ascii="Times New Roman;serif" w:hAnsi="Times New Roman;serif"/>
                <w:b w:val="false"/>
                <w:color w:val="000000"/>
                <w:sz w:val="20"/>
              </w:rPr>
            </w:pPr>
            <w:r>
              <w:rPr>
                <w:rFonts w:ascii="Times New Roman;serif" w:hAnsi="Times New Roman;serif"/>
                <w:b w:val="false"/>
                <w:color w:val="000000"/>
                <w:sz w:val="20"/>
              </w:rPr>
              <w:t>Deferred revenue, current and long-term</w:t>
            </w:r>
          </w:p>
        </w:tc>
        <w:tc>
          <w:tcPr>
            <w:tcW w:w="247"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52"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52" w:before="0" w:after="283"/>
              <w:jc w:val="right"/>
              <w:rPr>
                <w:rFonts w:ascii="Times New Roman;serif" w:hAnsi="Times New Roman;serif"/>
                <w:b w:val="false"/>
                <w:color w:val="000000"/>
                <w:sz w:val="20"/>
              </w:rPr>
            </w:pPr>
            <w:r>
              <w:rPr>
                <w:rFonts w:ascii="Times New Roman;serif" w:hAnsi="Times New Roman;serif"/>
                <w:b w:val="false"/>
                <w:color w:val="000000"/>
                <w:sz w:val="20"/>
              </w:rPr>
              <w:t>3,647 </w:t>
            </w:r>
          </w:p>
        </w:tc>
        <w:tc>
          <w:tcPr>
            <w:tcW w:w="127" w:type="dxa"/>
            <w:tcBorders>
              <w:bottom w:val="doub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52"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52" w:before="0" w:after="283"/>
              <w:jc w:val="right"/>
              <w:rPr>
                <w:rFonts w:ascii="Times New Roman;serif" w:hAnsi="Times New Roman;serif"/>
                <w:b w:val="false"/>
                <w:color w:val="000000"/>
                <w:sz w:val="20"/>
              </w:rPr>
            </w:pPr>
            <w:r>
              <w:rPr>
                <w:rFonts w:ascii="Times New Roman;serif" w:hAnsi="Times New Roman;serif"/>
                <w:b w:val="false"/>
                <w:color w:val="000000"/>
                <w:sz w:val="20"/>
              </w:rPr>
              <w:t>676 </w:t>
            </w:r>
          </w:p>
        </w:tc>
        <w:tc>
          <w:tcPr>
            <w:tcW w:w="109" w:type="dxa"/>
            <w:tcBorders>
              <w:bottom w:val="doub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52"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1"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52" w:before="0" w:after="283"/>
              <w:jc w:val="right"/>
              <w:rPr>
                <w:rFonts w:ascii="Times New Roman;serif" w:hAnsi="Times New Roman;serif"/>
                <w:b w:val="false"/>
                <w:color w:val="000000"/>
                <w:sz w:val="20"/>
              </w:rPr>
            </w:pPr>
            <w:r>
              <w:rPr>
                <w:rFonts w:ascii="Times New Roman;serif" w:hAnsi="Times New Roman;serif"/>
                <w:b w:val="false"/>
                <w:color w:val="000000"/>
                <w:sz w:val="20"/>
              </w:rPr>
              <w:t>(1,681)</w:t>
            </w:r>
          </w:p>
        </w:tc>
        <w:tc>
          <w:tcPr>
            <w:tcW w:w="109" w:type="dxa"/>
            <w:tcBorders>
              <w:bottom w:val="doub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52"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7"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52" w:before="0" w:after="283"/>
              <w:jc w:val="right"/>
              <w:rPr>
                <w:rFonts w:ascii="Times New Roman;serif" w:hAnsi="Times New Roman;serif"/>
                <w:b w:val="false"/>
                <w:color w:val="000000"/>
                <w:sz w:val="20"/>
              </w:rPr>
            </w:pPr>
            <w:r>
              <w:rPr>
                <w:rFonts w:ascii="Times New Roman;serif" w:hAnsi="Times New Roman;serif"/>
                <w:b w:val="false"/>
                <w:color w:val="000000"/>
                <w:sz w:val="20"/>
              </w:rPr>
              <w:t>2,642 </w:t>
            </w:r>
          </w:p>
        </w:tc>
        <w:tc>
          <w:tcPr>
            <w:tcW w:w="174" w:type="dxa"/>
            <w:tcBorders>
              <w:bottom w:val="doub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0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For each of the three-month periods ended March 31, 2026, and March 31, 2025, we recognized $1.0 million of revenue, which was included in the opening contract liabilities balances at the beginning of the respective periods.</w:t>
      </w:r>
    </w:p>
    <w:p>
      <w:pPr>
        <w:pStyle w:val="TextBody"/>
        <w:bidi w:val="0"/>
        <w:spacing w:lineRule="auto" w:line="288" w:before="200" w:after="283"/>
        <w:jc w:val="left"/>
        <w:rPr>
          <w:rFonts w:ascii="Times New Roman;serif" w:hAnsi="Times New Roman;serif"/>
          <w:b/>
          <w:i/>
          <w:color w:val="000000"/>
          <w:sz w:val="20"/>
        </w:rPr>
      </w:pPr>
      <w:r>
        <w:rPr>
          <w:rFonts w:ascii="Times New Roman;serif" w:hAnsi="Times New Roman;serif"/>
          <w:b/>
          <w:i/>
          <w:color w:val="000000"/>
          <w:sz w:val="20"/>
        </w:rPr>
        <w:t>Transaction Prices Allocated to Remaining Performance Obligations</w:t>
      </w:r>
    </w:p>
    <w:p>
      <w:pPr>
        <w:pStyle w:val="TextBody"/>
        <w:bidi w:val="0"/>
        <w:spacing w:lineRule="auto" w:line="288" w:before="20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Remaining performance obligations represent in aggregate the amount of a transaction price that has been allocated to performance obligations not delivered as of the end of a reporting period. The value of transaction prices allocated to remaining unsatisfied performance obligations as of March 31, 2026, and December 31, 2025, were approximately $2.6 million and $3.6 million, respectively. We expect to recognize approximately $1.0 million of remaining performance obligations as revenue in the next 12 months from March 31, 2026, and to recognize the remainder thereafter.</w:t>
      </w:r>
    </w:p>
    <w:p>
      <w:pPr>
        <w:pStyle w:val="TextBody"/>
        <w:bidi w:val="0"/>
        <w:spacing w:lineRule="auto" w:line="288" w:before="200" w:after="283"/>
        <w:jc w:val="left"/>
        <w:rPr>
          <w:rFonts w:ascii="Times New Roman;serif" w:hAnsi="Times New Roman;serif"/>
          <w:b/>
          <w:i/>
          <w:color w:val="000000"/>
          <w:sz w:val="20"/>
        </w:rPr>
      </w:pPr>
      <w:r>
        <w:rPr>
          <w:rFonts w:ascii="Times New Roman;serif" w:hAnsi="Times New Roman;serif"/>
          <w:b/>
          <w:i/>
          <w:color w:val="000000"/>
          <w:sz w:val="20"/>
        </w:rPr>
        <w:t>Capitalized Contract Acquisition Costs and Fulfillment Costs</w:t>
      </w:r>
    </w:p>
    <w:p>
      <w:pPr>
        <w:pStyle w:val="TextBody"/>
        <w:bidi w:val="0"/>
        <w:spacing w:lineRule="auto" w:line="288" w:before="20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We did not incur any expenses to obtain our existing contracts, and costs to fulfill those contracts do not generate or enhance our resources. As such, no costs to obtain or fulfill a contract have been capitalized in any period.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83"/>
        <w:jc w:val="left"/>
        <w:rPr>
          <w:rFonts w:ascii="Times New Roman;serif" w:hAnsi="Times New Roman;serif"/>
          <w:b/>
          <w:color w:val="000000"/>
          <w:sz w:val="20"/>
        </w:rPr>
      </w:pPr>
      <w:r>
        <w:rPr>
          <w:rFonts w:ascii="Times New Roman;serif" w:hAnsi="Times New Roman;serif"/>
          <w:b/>
          <w:color w:val="000000"/>
          <w:sz w:val="20"/>
        </w:rPr>
        <w:t>6. Balance Sheet Items</w:t>
      </w:r>
    </w:p>
    <w:p>
      <w:pPr>
        <w:pStyle w:val="TextBody"/>
        <w:bidi w:val="0"/>
        <w:spacing w:lineRule="auto" w:line="288" w:before="20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Property and equipment, net, consisted of the following (in thousands):</w:t>
      </w:r>
    </w:p>
    <w:tbl>
      <w:tblPr>
        <w:tblW w:w="6617" w:type="dxa"/>
        <w:jc w:val="left"/>
        <w:tblInd w:w="0" w:type="dxa"/>
        <w:tblLayout w:type="fixed"/>
        <w:tblCellMar>
          <w:top w:w="28" w:type="dxa"/>
          <w:left w:w="28" w:type="dxa"/>
          <w:bottom w:w="28" w:type="dxa"/>
          <w:right w:w="28" w:type="dxa"/>
        </w:tblCellMar>
      </w:tblPr>
      <w:tblGrid>
        <w:gridCol w:w="1489"/>
        <w:gridCol w:w="1306"/>
        <w:gridCol w:w="1315"/>
        <w:gridCol w:w="211"/>
        <w:gridCol w:w="721"/>
        <w:gridCol w:w="109"/>
        <w:gridCol w:w="109"/>
        <w:gridCol w:w="109"/>
        <w:gridCol w:w="109"/>
        <w:gridCol w:w="221"/>
        <w:gridCol w:w="757"/>
        <w:gridCol w:w="161"/>
      </w:tblGrid>
      <w:tr>
        <w:trPr/>
        <w:tc>
          <w:tcPr>
            <w:tcW w:w="1489" w:type="dxa"/>
            <w:tcBorders/>
            <w:vAlign w:val="center"/>
          </w:tcPr>
          <w:p>
            <w:pPr>
              <w:pStyle w:val="TableContents"/>
              <w:bidi w:val="0"/>
              <w:spacing w:before="0" w:after="283"/>
              <w:jc w:val="left"/>
              <w:rPr>
                <w:sz w:val="4"/>
                <w:szCs w:val="4"/>
              </w:rPr>
            </w:pPr>
            <w:r>
              <w:rPr>
                <w:sz w:val="4"/>
                <w:szCs w:val="4"/>
              </w:rPr>
            </w:r>
          </w:p>
        </w:tc>
        <w:tc>
          <w:tcPr>
            <w:tcW w:w="1306" w:type="dxa"/>
            <w:tcBorders/>
            <w:vAlign w:val="center"/>
          </w:tcPr>
          <w:p>
            <w:pPr>
              <w:pStyle w:val="TableContents"/>
              <w:bidi w:val="0"/>
              <w:spacing w:before="0" w:after="283"/>
              <w:jc w:val="left"/>
              <w:rPr>
                <w:sz w:val="4"/>
                <w:szCs w:val="4"/>
              </w:rPr>
            </w:pPr>
            <w:r>
              <w:rPr>
                <w:sz w:val="4"/>
                <w:szCs w:val="4"/>
              </w:rPr>
            </w:r>
          </w:p>
        </w:tc>
        <w:tc>
          <w:tcPr>
            <w:tcW w:w="1315"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757"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4110" w:type="dxa"/>
            <w:gridSpan w:val="3"/>
            <w:tcBorders/>
            <w:tcMar>
              <w:top w:w="0" w:type="dxa"/>
              <w:left w:w="0" w:type="dxa"/>
              <w:bottom w:w="0" w:type="dxa"/>
              <w:right w:w="0" w:type="dxa"/>
            </w:tcMar>
            <w:vAlign w:val="center"/>
          </w:tcPr>
          <w:p>
            <w:pPr>
              <w:pStyle w:val="TableContents"/>
              <w:bidi w:val="0"/>
              <w:spacing w:lineRule="auto" w:line="252" w:before="0" w:after="283"/>
              <w:jc w:val="left"/>
              <w:rPr>
                <w:color w:val="000000"/>
              </w:rPr>
            </w:pPr>
            <w:r>
              <w:rPr>
                <w:color w:val="000000"/>
              </w:rPr>
              <w:t> </w:t>
            </w:r>
          </w:p>
        </w:tc>
        <w:tc>
          <w:tcPr>
            <w:tcW w:w="1041" w:type="dxa"/>
            <w:gridSpan w:val="3"/>
            <w:tcBorders/>
            <w:tcMar>
              <w:top w:w="0" w:type="dxa"/>
              <w:left w:w="0" w:type="dxa"/>
              <w:bottom w:w="0" w:type="dxa"/>
              <w:right w:w="0" w:type="dxa"/>
            </w:tcMar>
            <w:vAlign w:val="center"/>
          </w:tcPr>
          <w:p>
            <w:pPr>
              <w:pStyle w:val="TableContents"/>
              <w:bidi w:val="0"/>
              <w:spacing w:lineRule="auto" w:line="252" w:before="0" w:after="283"/>
              <w:jc w:val="center"/>
              <w:rPr>
                <w:rFonts w:ascii="Times New Roman;serif" w:hAnsi="Times New Roman;serif"/>
                <w:b/>
                <w:color w:val="000000"/>
                <w:sz w:val="16"/>
              </w:rPr>
            </w:pPr>
            <w:r>
              <w:rPr>
                <w:rFonts w:ascii="Times New Roman;serif" w:hAnsi="Times New Roman;serif"/>
                <w:b/>
                <w:color w:val="000000"/>
                <w:sz w:val="16"/>
              </w:rPr>
              <w:t>March 31,</w:t>
              <w:b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tcMar>
              <w:top w:w="0" w:type="dxa"/>
              <w:left w:w="0" w:type="dxa"/>
              <w:bottom w:w="0" w:type="dxa"/>
              <w:right w:w="0" w:type="dxa"/>
            </w:tcMar>
            <w:vAlign w:val="center"/>
          </w:tcPr>
          <w:p>
            <w:pPr>
              <w:pStyle w:val="TableContents"/>
              <w:bidi w:val="0"/>
              <w:spacing w:lineRule="auto" w:line="252" w:before="0" w:after="283"/>
              <w:jc w:val="center"/>
              <w:rPr>
                <w:rFonts w:ascii="Times New Roman;serif" w:hAnsi="Times New Roman;serif"/>
                <w:b/>
                <w:color w:val="000000"/>
                <w:sz w:val="16"/>
              </w:rPr>
            </w:pPr>
            <w:r>
              <w:rPr>
                <w:rFonts w:ascii="Times New Roman;serif" w:hAnsi="Times New Roman;serif"/>
                <w:b/>
                <w:color w:val="000000"/>
                <w:sz w:val="16"/>
              </w:rPr>
              <w:t>December 31,</w:t>
              <w:br/>
              <w:t>2025</w:t>
            </w:r>
          </w:p>
        </w:tc>
      </w:tr>
      <w:tr>
        <w:trPr/>
        <w:tc>
          <w:tcPr>
            <w:tcW w:w="4110" w:type="dxa"/>
            <w:gridSpan w:val="3"/>
            <w:tcBorders/>
            <w:shd w:fill="CCEEFF" w:val="clear"/>
            <w:tcMar>
              <w:top w:w="0" w:type="dxa"/>
              <w:left w:w="0" w:type="dxa"/>
              <w:bottom w:w="0" w:type="dxa"/>
              <w:right w:w="0" w:type="dxa"/>
            </w:tcMar>
            <w:vAlign w:val="center"/>
          </w:tcPr>
          <w:p>
            <w:pPr>
              <w:pStyle w:val="TableContents"/>
              <w:bidi w:val="0"/>
              <w:spacing w:lineRule="auto" w:line="252" w:before="0" w:after="283"/>
              <w:jc w:val="left"/>
              <w:rPr>
                <w:rFonts w:ascii="Times New Roman;serif" w:hAnsi="Times New Roman;serif"/>
                <w:b w:val="false"/>
                <w:color w:val="000000"/>
                <w:sz w:val="20"/>
              </w:rPr>
            </w:pPr>
            <w:r>
              <w:rPr>
                <w:rFonts w:ascii="Times New Roman;serif" w:hAnsi="Times New Roman;serif"/>
                <w:b w:val="false"/>
                <w:color w:val="000000"/>
                <w:sz w:val="20"/>
              </w:rPr>
              <w:t>Lab equipment</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52"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52" w:before="0" w:after="283"/>
              <w:jc w:val="right"/>
              <w:rPr>
                <w:rFonts w:ascii="Times New Roman;serif" w:hAnsi="Times New Roman;serif"/>
                <w:b w:val="false"/>
                <w:color w:val="000000"/>
                <w:sz w:val="20"/>
              </w:rPr>
            </w:pPr>
            <w:r>
              <w:rPr>
                <w:rFonts w:ascii="Times New Roman;serif" w:hAnsi="Times New Roman;serif"/>
                <w:b w:val="false"/>
                <w:color w:val="000000"/>
                <w:sz w:val="20"/>
              </w:rPr>
              <w:t>15,649 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52"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5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52" w:before="0" w:after="283"/>
              <w:jc w:val="right"/>
              <w:rPr>
                <w:rFonts w:ascii="Times New Roman;serif" w:hAnsi="Times New Roman;serif"/>
                <w:b w:val="false"/>
                <w:color w:val="000000"/>
                <w:sz w:val="20"/>
              </w:rPr>
            </w:pPr>
            <w:r>
              <w:rPr>
                <w:rFonts w:ascii="Times New Roman;serif" w:hAnsi="Times New Roman;serif"/>
                <w:b w:val="false"/>
                <w:color w:val="000000"/>
                <w:sz w:val="20"/>
              </w:rPr>
              <w:t>15,636 </w:t>
            </w:r>
          </w:p>
        </w:tc>
        <w:tc>
          <w:tcPr>
            <w:tcW w:w="16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10" w:type="dxa"/>
            <w:gridSpan w:val="3"/>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serif" w:hAnsi="Times New Roman;serif"/>
                <w:b w:val="false"/>
                <w:color w:val="000000"/>
                <w:sz w:val="20"/>
              </w:rPr>
            </w:pPr>
            <w:r>
              <w:rPr>
                <w:rFonts w:ascii="Times New Roman;serif" w:hAnsi="Times New Roman;serif"/>
                <w:b w:val="false"/>
                <w:color w:val="000000"/>
                <w:sz w:val="20"/>
              </w:rPr>
              <w:t>Leasehold improvements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serif" w:hAnsi="Times New Roman;serif"/>
                <w:b w:val="false"/>
                <w:color w:val="000000"/>
                <w:sz w:val="20"/>
              </w:rPr>
            </w:pPr>
            <w:r>
              <w:rPr>
                <w:rFonts w:ascii="Times New Roman;serif" w:hAnsi="Times New Roman;serif"/>
                <w:b w:val="false"/>
                <w:color w:val="000000"/>
                <w:sz w:val="20"/>
              </w:rPr>
              <w:t>3,057 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serif" w:hAnsi="Times New Roman;serif"/>
                <w:b w:val="false"/>
                <w:color w:val="000000"/>
                <w:sz w:val="20"/>
              </w:rPr>
            </w:pPr>
            <w:r>
              <w:rPr>
                <w:rFonts w:ascii="Times New Roman;serif" w:hAnsi="Times New Roman;serif"/>
                <w:b w:val="false"/>
                <w:color w:val="000000"/>
                <w:sz w:val="20"/>
              </w:rPr>
              <w:t>3,057 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10" w:type="dxa"/>
            <w:gridSpan w:val="3"/>
            <w:tcBorders/>
            <w:shd w:fill="CCEEFF" w:val="clear"/>
            <w:tcMar>
              <w:top w:w="0" w:type="dxa"/>
              <w:left w:w="0" w:type="dxa"/>
              <w:bottom w:w="0" w:type="dxa"/>
              <w:right w:w="0" w:type="dxa"/>
            </w:tcMar>
            <w:vAlign w:val="center"/>
          </w:tcPr>
          <w:p>
            <w:pPr>
              <w:pStyle w:val="TableContents"/>
              <w:bidi w:val="0"/>
              <w:spacing w:lineRule="auto" w:line="252" w:before="0" w:after="283"/>
              <w:jc w:val="left"/>
              <w:rPr>
                <w:rFonts w:ascii="Times New Roman;serif" w:hAnsi="Times New Roman;serif"/>
                <w:b w:val="false"/>
                <w:color w:val="000000"/>
                <w:sz w:val="20"/>
              </w:rPr>
            </w:pPr>
            <w:r>
              <w:rPr>
                <w:rFonts w:ascii="Times New Roman;serif" w:hAnsi="Times New Roman;serif"/>
                <w:b w:val="false"/>
                <w:color w:val="000000"/>
                <w:sz w:val="20"/>
              </w:rPr>
              <w:t>Computer equipment</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52" w:before="0" w:after="283"/>
              <w:jc w:val="right"/>
              <w:rPr>
                <w:rFonts w:ascii="Times New Roman;serif" w:hAnsi="Times New Roman;serif"/>
                <w:b w:val="false"/>
                <w:color w:val="000000"/>
                <w:sz w:val="20"/>
              </w:rPr>
            </w:pPr>
            <w:r>
              <w:rPr>
                <w:rFonts w:ascii="Times New Roman;serif" w:hAnsi="Times New Roman;serif"/>
                <w:b w:val="false"/>
                <w:color w:val="000000"/>
                <w:sz w:val="20"/>
              </w:rPr>
              <w:t>897 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CCEEFF" w:val="clear"/>
            <w:tcMar>
              <w:top w:w="0" w:type="dxa"/>
              <w:left w:w="0" w:type="dxa"/>
              <w:bottom w:w="0" w:type="dxa"/>
              <w:right w:w="0" w:type="dxa"/>
            </w:tcMar>
            <w:vAlign w:val="center"/>
          </w:tcPr>
          <w:p>
            <w:pPr>
              <w:pStyle w:val="TableContents"/>
              <w:bidi w:val="0"/>
              <w:spacing w:lineRule="auto" w:line="252" w:before="0" w:after="283"/>
              <w:jc w:val="right"/>
              <w:rPr>
                <w:rFonts w:ascii="Times New Roman;serif" w:hAnsi="Times New Roman;serif"/>
                <w:b w:val="false"/>
                <w:color w:val="000000"/>
                <w:sz w:val="20"/>
              </w:rPr>
            </w:pPr>
            <w:r>
              <w:rPr>
                <w:rFonts w:ascii="Times New Roman;serif" w:hAnsi="Times New Roman;serif"/>
                <w:b w:val="false"/>
                <w:color w:val="000000"/>
                <w:sz w:val="20"/>
              </w:rPr>
              <w:t>897 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10" w:type="dxa"/>
            <w:gridSpan w:val="3"/>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serif" w:hAnsi="Times New Roman;serif"/>
                <w:b w:val="false"/>
                <w:color w:val="000000"/>
                <w:sz w:val="20"/>
              </w:rPr>
            </w:pPr>
            <w:r>
              <w:rPr>
                <w:rFonts w:ascii="Times New Roman;serif" w:hAnsi="Times New Roman;serif"/>
                <w:b w:val="false"/>
                <w:color w:val="000000"/>
                <w:sz w:val="20"/>
              </w:rPr>
              <w:t>Furniture and equipment</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serif" w:hAnsi="Times New Roman;serif"/>
                <w:b w:val="false"/>
                <w:color w:val="000000"/>
                <w:sz w:val="20"/>
              </w:rPr>
            </w:pPr>
            <w:r>
              <w:rPr>
                <w:rFonts w:ascii="Times New Roman;serif" w:hAnsi="Times New Roman;serif"/>
                <w:b w:val="false"/>
                <w:color w:val="000000"/>
                <w:sz w:val="20"/>
              </w:rPr>
              <w:t>697 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serif" w:hAnsi="Times New Roman;serif"/>
                <w:b w:val="false"/>
                <w:color w:val="000000"/>
                <w:sz w:val="20"/>
              </w:rPr>
            </w:pPr>
            <w:r>
              <w:rPr>
                <w:rFonts w:ascii="Times New Roman;serif" w:hAnsi="Times New Roman;serif"/>
                <w:b w:val="false"/>
                <w:color w:val="000000"/>
                <w:sz w:val="20"/>
              </w:rPr>
              <w:t>697 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10" w:type="dxa"/>
            <w:gridSpan w:val="3"/>
            <w:tcBorders/>
            <w:shd w:fill="CCEEFF" w:val="clear"/>
            <w:tcMar>
              <w:top w:w="0" w:type="dxa"/>
              <w:left w:w="0" w:type="dxa"/>
              <w:bottom w:w="0" w:type="dxa"/>
              <w:right w:w="0" w:type="dxa"/>
            </w:tcMar>
            <w:vAlign w:val="center"/>
          </w:tcPr>
          <w:p>
            <w:pPr>
              <w:pStyle w:val="TableContents"/>
              <w:bidi w:val="0"/>
              <w:spacing w:lineRule="auto" w:line="252" w:before="0" w:after="283"/>
              <w:jc w:val="left"/>
              <w:rPr>
                <w:rFonts w:ascii="Times New Roman;serif" w:hAnsi="Times New Roman;serif"/>
                <w:b w:val="false"/>
                <w:color w:val="000000"/>
                <w:sz w:val="20"/>
              </w:rPr>
            </w:pPr>
            <w:r>
              <w:rPr>
                <w:rFonts w:ascii="Times New Roman;serif" w:hAnsi="Times New Roman;serif"/>
                <w:b w:val="false"/>
                <w:color w:val="000000"/>
                <w:sz w:val="20"/>
              </w:rPr>
              <w:t>Total property and equipment, gross</w:t>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52" w:before="0" w:after="283"/>
              <w:jc w:val="right"/>
              <w:rPr>
                <w:rFonts w:ascii="Times New Roman;serif" w:hAnsi="Times New Roman;serif"/>
                <w:b w:val="false"/>
                <w:color w:val="000000"/>
                <w:sz w:val="20"/>
              </w:rPr>
            </w:pPr>
            <w:r>
              <w:rPr>
                <w:rFonts w:ascii="Times New Roman;serif" w:hAnsi="Times New Roman;serif"/>
                <w:b w:val="false"/>
                <w:color w:val="000000"/>
                <w:sz w:val="20"/>
              </w:rPr>
              <w:t>20,300 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52" w:before="0" w:after="283"/>
              <w:jc w:val="right"/>
              <w:rPr>
                <w:rFonts w:ascii="Times New Roman;serif" w:hAnsi="Times New Roman;serif"/>
                <w:b w:val="false"/>
                <w:color w:val="000000"/>
                <w:sz w:val="20"/>
              </w:rPr>
            </w:pPr>
            <w:r>
              <w:rPr>
                <w:rFonts w:ascii="Times New Roman;serif" w:hAnsi="Times New Roman;serif"/>
                <w:b w:val="false"/>
                <w:color w:val="000000"/>
                <w:sz w:val="20"/>
              </w:rPr>
              <w:t>20,287 </w:t>
            </w:r>
          </w:p>
        </w:tc>
        <w:tc>
          <w:tcPr>
            <w:tcW w:w="16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10" w:type="dxa"/>
            <w:gridSpan w:val="3"/>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serif" w:hAnsi="Times New Roman;serif"/>
                <w:b w:val="false"/>
                <w:color w:val="000000"/>
                <w:sz w:val="20"/>
              </w:rPr>
            </w:pPr>
            <w:r>
              <w:rPr>
                <w:rFonts w:ascii="Times New Roman;serif" w:hAnsi="Times New Roman;serif"/>
                <w:b w:val="false"/>
                <w:color w:val="000000"/>
                <w:sz w:val="20"/>
              </w:rPr>
              <w:t>Less: accumulated depreciation and amortization</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serif" w:hAnsi="Times New Roman;serif"/>
                <w:b w:val="false"/>
                <w:color w:val="000000"/>
                <w:sz w:val="20"/>
              </w:rPr>
            </w:pPr>
            <w:r>
              <w:rPr>
                <w:rFonts w:ascii="Times New Roman;serif" w:hAnsi="Times New Roman;serif"/>
                <w:b w:val="false"/>
                <w:color w:val="000000"/>
                <w:sz w:val="20"/>
              </w:rPr>
              <w:t>(14,177)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serif" w:hAnsi="Times New Roman;serif"/>
                <w:b w:val="false"/>
                <w:color w:val="000000"/>
                <w:sz w:val="20"/>
              </w:rPr>
            </w:pPr>
            <w:r>
              <w:rPr>
                <w:rFonts w:ascii="Times New Roman;serif" w:hAnsi="Times New Roman;serif"/>
                <w:b w:val="false"/>
                <w:color w:val="000000"/>
                <w:sz w:val="20"/>
              </w:rPr>
              <w:t>(13,527)</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10" w:type="dxa"/>
            <w:gridSpan w:val="3"/>
            <w:tcBorders/>
            <w:shd w:fill="CCEEFF" w:val="clear"/>
            <w:tcMar>
              <w:top w:w="0" w:type="dxa"/>
              <w:left w:w="0" w:type="dxa"/>
              <w:bottom w:w="0" w:type="dxa"/>
              <w:right w:w="0" w:type="dxa"/>
            </w:tcMar>
            <w:vAlign w:val="center"/>
          </w:tcPr>
          <w:p>
            <w:pPr>
              <w:pStyle w:val="TableContents"/>
              <w:bidi w:val="0"/>
              <w:spacing w:lineRule="auto" w:line="252" w:before="0" w:after="283"/>
              <w:jc w:val="left"/>
              <w:rPr>
                <w:rFonts w:ascii="Times New Roman;serif" w:hAnsi="Times New Roman;serif"/>
                <w:b w:val="false"/>
                <w:color w:val="000000"/>
                <w:sz w:val="20"/>
              </w:rPr>
            </w:pPr>
            <w:r>
              <w:rPr>
                <w:rFonts w:ascii="Times New Roman;serif" w:hAnsi="Times New Roman;serif"/>
                <w:b w:val="false"/>
                <w:color w:val="000000"/>
                <w:sz w:val="20"/>
              </w:rPr>
              <w:t>Property and equipment, net</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52"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52" w:before="0" w:after="283"/>
              <w:jc w:val="right"/>
              <w:rPr>
                <w:rFonts w:ascii="Times New Roman;serif" w:hAnsi="Times New Roman;serif"/>
                <w:b w:val="false"/>
                <w:color w:val="000000"/>
                <w:sz w:val="20"/>
              </w:rPr>
            </w:pPr>
            <w:r>
              <w:rPr>
                <w:rFonts w:ascii="Times New Roman;serif" w:hAnsi="Times New Roman;serif"/>
                <w:b w:val="false"/>
                <w:color w:val="000000"/>
                <w:sz w:val="20"/>
              </w:rPr>
              <w:t>6,123 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52"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5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52" w:before="0" w:after="283"/>
              <w:jc w:val="right"/>
              <w:rPr>
                <w:rFonts w:ascii="Times New Roman;serif" w:hAnsi="Times New Roman;serif"/>
                <w:b w:val="false"/>
                <w:color w:val="000000"/>
                <w:sz w:val="20"/>
              </w:rPr>
            </w:pPr>
            <w:r>
              <w:rPr>
                <w:rFonts w:ascii="Times New Roman;serif" w:hAnsi="Times New Roman;serif"/>
                <w:b w:val="false"/>
                <w:color w:val="000000"/>
                <w:sz w:val="20"/>
              </w:rPr>
              <w:t>6,760 </w:t>
            </w:r>
          </w:p>
        </w:tc>
        <w:tc>
          <w:tcPr>
            <w:tcW w:w="16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0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Depreciation and amortization expenses related to property and equipment were $0.6 million and $1.2 million for the three months ended March 31, 2026, and March 31, 2025, respectively.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6480175" cy="146685"/>
                <wp:effectExtent l="0" t="0" r="0" b="0"/>
                <wp:wrapNone/>
                <wp:docPr id="12" name="Frame1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10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10</w:t>
                      </w:r>
                    </w:p>
                  </w:txbxContent>
                </v:textbox>
                <w10:wrap type="none"/>
              </v:rect>
            </w:pict>
          </mc:Fallback>
        </mc:AlternateContent>
      </w:r>
    </w:p>
    <w:p>
      <w:pPr>
        <w:pStyle w:val="TextBody"/>
        <w:bidi w:val="0"/>
        <w:spacing w:lineRule="auto" w:line="288" w:before="0" w:after="0"/>
        <w:jc w:val="left"/>
        <w:rPr/>
      </w:pPr>
      <w:hyperlink w:anchor="i7f5619487a1149c59a3dd36fee75a584_7">
        <w:r>
          <w:rPr>
            <w:rStyle w:val="InternetLink"/>
            <w:rFonts w:ascii="Times New Roman;serif" w:hAnsi="Times New Roman;serif"/>
            <w:b w:val="false"/>
            <w:color w:val="0000FF"/>
            <w:sz w:val="20"/>
            <w:u w:val="single"/>
          </w:rPr>
          <w:t>Table of Contents</w:t>
        </w:r>
      </w:hyperlink>
    </w:p>
    <w:p>
      <w:pPr>
        <w:pStyle w:val="TextBody"/>
        <w:bidi w:val="0"/>
        <w:spacing w:lineRule="auto" w:line="288" w:before="20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Accrued expenses and other current liabilities consisted of the following (in thousands):</w:t>
      </w:r>
    </w:p>
    <w:tbl>
      <w:tblPr>
        <w:tblW w:w="7052" w:type="dxa"/>
        <w:jc w:val="left"/>
        <w:tblInd w:w="0" w:type="dxa"/>
        <w:tblLayout w:type="fixed"/>
        <w:tblCellMar>
          <w:top w:w="28" w:type="dxa"/>
          <w:left w:w="28" w:type="dxa"/>
          <w:bottom w:w="28" w:type="dxa"/>
          <w:right w:w="28" w:type="dxa"/>
        </w:tblCellMar>
      </w:tblPr>
      <w:tblGrid>
        <w:gridCol w:w="1648"/>
        <w:gridCol w:w="1445"/>
        <w:gridCol w:w="1452"/>
        <w:gridCol w:w="211"/>
        <w:gridCol w:w="721"/>
        <w:gridCol w:w="109"/>
        <w:gridCol w:w="109"/>
        <w:gridCol w:w="109"/>
        <w:gridCol w:w="109"/>
        <w:gridCol w:w="221"/>
        <w:gridCol w:w="757"/>
        <w:gridCol w:w="161"/>
      </w:tblGrid>
      <w:tr>
        <w:trPr/>
        <w:tc>
          <w:tcPr>
            <w:tcW w:w="1648" w:type="dxa"/>
            <w:tcBorders/>
            <w:vAlign w:val="center"/>
          </w:tcPr>
          <w:p>
            <w:pPr>
              <w:pStyle w:val="TableContents"/>
              <w:bidi w:val="0"/>
              <w:spacing w:before="0" w:after="283"/>
              <w:jc w:val="left"/>
              <w:rPr>
                <w:sz w:val="4"/>
                <w:szCs w:val="4"/>
              </w:rPr>
            </w:pPr>
            <w:r>
              <w:rPr>
                <w:sz w:val="4"/>
                <w:szCs w:val="4"/>
              </w:rPr>
            </w:r>
          </w:p>
        </w:tc>
        <w:tc>
          <w:tcPr>
            <w:tcW w:w="1445" w:type="dxa"/>
            <w:tcBorders/>
            <w:vAlign w:val="center"/>
          </w:tcPr>
          <w:p>
            <w:pPr>
              <w:pStyle w:val="TableContents"/>
              <w:bidi w:val="0"/>
              <w:spacing w:before="0" w:after="283"/>
              <w:jc w:val="left"/>
              <w:rPr>
                <w:sz w:val="4"/>
                <w:szCs w:val="4"/>
              </w:rPr>
            </w:pPr>
            <w:r>
              <w:rPr>
                <w:sz w:val="4"/>
                <w:szCs w:val="4"/>
              </w:rPr>
            </w:r>
          </w:p>
        </w:tc>
        <w:tc>
          <w:tcPr>
            <w:tcW w:w="1452"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757"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4545" w:type="dxa"/>
            <w:gridSpan w:val="3"/>
            <w:tcBorders/>
            <w:tcMar>
              <w:top w:w="0" w:type="dxa"/>
              <w:left w:w="0" w:type="dxa"/>
              <w:bottom w:w="0" w:type="dxa"/>
              <w:right w:w="0" w:type="dxa"/>
            </w:tcMar>
            <w:vAlign w:val="center"/>
          </w:tcPr>
          <w:p>
            <w:pPr>
              <w:pStyle w:val="TableContents"/>
              <w:bidi w:val="0"/>
              <w:spacing w:lineRule="auto" w:line="252" w:before="0" w:after="283"/>
              <w:jc w:val="left"/>
              <w:rPr>
                <w:color w:val="000000"/>
              </w:rPr>
            </w:pPr>
            <w:r>
              <w:rPr>
                <w:color w:val="000000"/>
              </w:rPr>
              <w:t> </w:t>
            </w:r>
          </w:p>
        </w:tc>
        <w:tc>
          <w:tcPr>
            <w:tcW w:w="1041" w:type="dxa"/>
            <w:gridSpan w:val="3"/>
            <w:tcBorders/>
            <w:tcMar>
              <w:top w:w="0" w:type="dxa"/>
              <w:left w:w="0" w:type="dxa"/>
              <w:bottom w:w="0" w:type="dxa"/>
              <w:right w:w="0" w:type="dxa"/>
            </w:tcMar>
            <w:vAlign w:val="center"/>
          </w:tcPr>
          <w:p>
            <w:pPr>
              <w:pStyle w:val="TableContents"/>
              <w:bidi w:val="0"/>
              <w:spacing w:lineRule="auto" w:line="252" w:before="0" w:after="283"/>
              <w:jc w:val="center"/>
              <w:rPr>
                <w:rFonts w:ascii="Times New Roman;serif" w:hAnsi="Times New Roman;serif"/>
                <w:b/>
                <w:color w:val="000000"/>
                <w:sz w:val="16"/>
              </w:rPr>
            </w:pPr>
            <w:r>
              <w:rPr>
                <w:rFonts w:ascii="Times New Roman;serif" w:hAnsi="Times New Roman;serif"/>
                <w:b/>
                <w:color w:val="000000"/>
                <w:sz w:val="16"/>
              </w:rPr>
              <w:t>March 31,</w:t>
              <w:b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tcMar>
              <w:top w:w="0" w:type="dxa"/>
              <w:left w:w="0" w:type="dxa"/>
              <w:bottom w:w="0" w:type="dxa"/>
              <w:right w:w="0" w:type="dxa"/>
            </w:tcMar>
            <w:vAlign w:val="center"/>
          </w:tcPr>
          <w:p>
            <w:pPr>
              <w:pStyle w:val="TableContents"/>
              <w:bidi w:val="0"/>
              <w:spacing w:lineRule="auto" w:line="252" w:before="0" w:after="283"/>
              <w:jc w:val="center"/>
              <w:rPr>
                <w:rFonts w:ascii="Times New Roman;serif" w:hAnsi="Times New Roman;serif"/>
                <w:b/>
                <w:color w:val="000000"/>
                <w:sz w:val="16"/>
              </w:rPr>
            </w:pPr>
            <w:r>
              <w:rPr>
                <w:rFonts w:ascii="Times New Roman;serif" w:hAnsi="Times New Roman;serif"/>
                <w:b/>
                <w:color w:val="000000"/>
                <w:sz w:val="16"/>
              </w:rPr>
              <w:t>December 31,</w:t>
              <w:br/>
              <w:t>2025</w:t>
            </w:r>
          </w:p>
        </w:tc>
      </w:tr>
      <w:tr>
        <w:trPr/>
        <w:tc>
          <w:tcPr>
            <w:tcW w:w="4545" w:type="dxa"/>
            <w:gridSpan w:val="3"/>
            <w:tcBorders/>
            <w:shd w:fill="CCEEFF" w:val="clear"/>
            <w:tcMar>
              <w:top w:w="0" w:type="dxa"/>
              <w:left w:w="0" w:type="dxa"/>
              <w:bottom w:w="0" w:type="dxa"/>
              <w:right w:w="0" w:type="dxa"/>
            </w:tcMar>
            <w:vAlign w:val="center"/>
          </w:tcPr>
          <w:p>
            <w:pPr>
              <w:pStyle w:val="TableContents"/>
              <w:bidi w:val="0"/>
              <w:spacing w:lineRule="auto" w:line="252" w:before="0" w:after="283"/>
              <w:jc w:val="left"/>
              <w:rPr>
                <w:rFonts w:ascii="Times New Roman;serif" w:hAnsi="Times New Roman;serif"/>
                <w:b w:val="false"/>
                <w:color w:val="000000"/>
                <w:sz w:val="20"/>
              </w:rPr>
            </w:pPr>
            <w:r>
              <w:rPr>
                <w:rFonts w:ascii="Times New Roman;serif" w:hAnsi="Times New Roman;serif"/>
                <w:b w:val="false"/>
                <w:color w:val="000000"/>
                <w:sz w:val="20"/>
              </w:rPr>
              <w:t>Accrued research and development expenses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52"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52" w:before="0" w:after="283"/>
              <w:jc w:val="right"/>
              <w:rPr>
                <w:rFonts w:ascii="Times New Roman;serif" w:hAnsi="Times New Roman;serif"/>
                <w:b w:val="false"/>
                <w:color w:val="000000"/>
                <w:sz w:val="20"/>
              </w:rPr>
            </w:pPr>
            <w:r>
              <w:rPr>
                <w:rFonts w:ascii="Times New Roman;serif" w:hAnsi="Times New Roman;serif"/>
                <w:b w:val="false"/>
                <w:color w:val="000000"/>
                <w:sz w:val="20"/>
              </w:rPr>
              <w:t>7,614 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52"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5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52" w:before="0" w:after="283"/>
              <w:jc w:val="right"/>
              <w:rPr>
                <w:rFonts w:ascii="Times New Roman;serif" w:hAnsi="Times New Roman;serif"/>
                <w:b w:val="false"/>
                <w:color w:val="000000"/>
                <w:sz w:val="20"/>
              </w:rPr>
            </w:pPr>
            <w:r>
              <w:rPr>
                <w:rFonts w:ascii="Times New Roman;serif" w:hAnsi="Times New Roman;serif"/>
                <w:b w:val="false"/>
                <w:color w:val="000000"/>
                <w:sz w:val="20"/>
              </w:rPr>
              <w:t>6,109 </w:t>
            </w:r>
          </w:p>
        </w:tc>
        <w:tc>
          <w:tcPr>
            <w:tcW w:w="16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45" w:type="dxa"/>
            <w:gridSpan w:val="3"/>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serif" w:hAnsi="Times New Roman;serif"/>
                <w:b w:val="false"/>
                <w:color w:val="000000"/>
                <w:sz w:val="20"/>
              </w:rPr>
            </w:pPr>
            <w:r>
              <w:rPr>
                <w:rFonts w:ascii="Times New Roman;serif" w:hAnsi="Times New Roman;serif"/>
                <w:b w:val="false"/>
                <w:color w:val="000000"/>
                <w:sz w:val="20"/>
              </w:rPr>
              <w:t>Accrued employee compensation and related expenses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serif" w:hAnsi="Times New Roman;serif"/>
                <w:b w:val="false"/>
                <w:color w:val="000000"/>
                <w:sz w:val="20"/>
              </w:rPr>
            </w:pPr>
            <w:r>
              <w:rPr>
                <w:rFonts w:ascii="Times New Roman;serif" w:hAnsi="Times New Roman;serif"/>
                <w:b w:val="false"/>
                <w:color w:val="000000"/>
                <w:sz w:val="20"/>
              </w:rPr>
              <w:t>3,712 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serif" w:hAnsi="Times New Roman;serif"/>
                <w:b w:val="false"/>
                <w:color w:val="000000"/>
                <w:sz w:val="20"/>
              </w:rPr>
            </w:pPr>
            <w:r>
              <w:rPr>
                <w:rFonts w:ascii="Times New Roman;serif" w:hAnsi="Times New Roman;serif"/>
                <w:b w:val="false"/>
                <w:color w:val="000000"/>
                <w:sz w:val="20"/>
              </w:rPr>
              <w:t>7,745 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45" w:type="dxa"/>
            <w:gridSpan w:val="3"/>
            <w:tcBorders/>
            <w:shd w:fill="CCEEFF" w:val="clear"/>
            <w:tcMar>
              <w:top w:w="0" w:type="dxa"/>
              <w:left w:w="0" w:type="dxa"/>
              <w:bottom w:w="0" w:type="dxa"/>
              <w:right w:w="0" w:type="dxa"/>
            </w:tcMar>
            <w:vAlign w:val="center"/>
          </w:tcPr>
          <w:p>
            <w:pPr>
              <w:pStyle w:val="TableContents"/>
              <w:bidi w:val="0"/>
              <w:spacing w:lineRule="auto" w:line="252" w:before="0" w:after="0"/>
              <w:jc w:val="left"/>
              <w:rPr>
                <w:rFonts w:ascii="Times New Roman;serif" w:hAnsi="Times New Roman;serif"/>
                <w:b w:val="false"/>
                <w:color w:val="000000"/>
                <w:sz w:val="20"/>
              </w:rPr>
            </w:pPr>
            <w:r>
              <w:rPr>
                <w:rFonts w:ascii="Times New Roman;serif" w:hAnsi="Times New Roman;serif"/>
                <w:b w:val="false"/>
                <w:color w:val="000000"/>
                <w:sz w:val="20"/>
              </w:rPr>
              <w:t>Accrued expenses related to sublicensing revenues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52" w:before="0" w:after="283"/>
              <w:jc w:val="right"/>
              <w:rPr>
                <w:rFonts w:ascii="Times New Roman;serif" w:hAnsi="Times New Roman;serif"/>
                <w:b w:val="false"/>
                <w:color w:val="000000"/>
                <w:sz w:val="20"/>
              </w:rPr>
            </w:pPr>
            <w:r>
              <w:rPr>
                <w:rFonts w:ascii="Times New Roman;serif" w:hAnsi="Times New Roman;serif"/>
                <w:b w:val="false"/>
                <w:color w:val="000000"/>
                <w:sz w:val="20"/>
              </w:rPr>
              <w:t>983 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CCEEFF" w:val="clear"/>
            <w:tcMar>
              <w:top w:w="0" w:type="dxa"/>
              <w:left w:w="0" w:type="dxa"/>
              <w:bottom w:w="0" w:type="dxa"/>
              <w:right w:w="0" w:type="dxa"/>
            </w:tcMar>
            <w:vAlign w:val="center"/>
          </w:tcPr>
          <w:p>
            <w:pPr>
              <w:pStyle w:val="TableContents"/>
              <w:bidi w:val="0"/>
              <w:spacing w:lineRule="auto" w:line="252" w:before="0" w:after="283"/>
              <w:jc w:val="right"/>
              <w:rPr>
                <w:rFonts w:ascii="Times New Roman;serif" w:hAnsi="Times New Roman;serif"/>
                <w:b w:val="false"/>
                <w:color w:val="000000"/>
                <w:sz w:val="20"/>
              </w:rPr>
            </w:pPr>
            <w:r>
              <w:rPr>
                <w:rFonts w:ascii="Times New Roman;serif" w:hAnsi="Times New Roman;serif"/>
                <w:b w:val="false"/>
                <w:color w:val="000000"/>
                <w:sz w:val="20"/>
              </w:rPr>
              <w:t>992 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45" w:type="dxa"/>
            <w:gridSpan w:val="3"/>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serif" w:hAnsi="Times New Roman;serif"/>
                <w:b w:val="false"/>
                <w:color w:val="000000"/>
                <w:sz w:val="20"/>
              </w:rPr>
            </w:pPr>
            <w:r>
              <w:rPr>
                <w:rFonts w:ascii="Times New Roman;serif" w:hAnsi="Times New Roman;serif"/>
                <w:b w:val="false"/>
                <w:color w:val="000000"/>
                <w:sz w:val="20"/>
              </w:rPr>
              <w:t>Accrued patent expenses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serif" w:hAnsi="Times New Roman;serif"/>
                <w:b w:val="false"/>
                <w:color w:val="000000"/>
                <w:sz w:val="20"/>
              </w:rPr>
            </w:pPr>
            <w:r>
              <w:rPr>
                <w:rFonts w:ascii="Times New Roman;serif" w:hAnsi="Times New Roman;serif"/>
                <w:b w:val="false"/>
                <w:color w:val="000000"/>
                <w:sz w:val="20"/>
              </w:rPr>
              <w:t>848 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serif" w:hAnsi="Times New Roman;serif"/>
                <w:b w:val="false"/>
                <w:color w:val="000000"/>
                <w:sz w:val="20"/>
              </w:rPr>
            </w:pPr>
            <w:r>
              <w:rPr>
                <w:rFonts w:ascii="Times New Roman;serif" w:hAnsi="Times New Roman;serif"/>
                <w:b w:val="false"/>
                <w:color w:val="000000"/>
                <w:sz w:val="20"/>
              </w:rPr>
              <w:t>873 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52" w:before="0" w:after="283"/>
              <w:jc w:val="right"/>
              <w:rPr>
                <w:rFonts w:ascii="Times New Roman;serif" w:hAnsi="Times New Roman;serif"/>
                <w:b w:val="false"/>
                <w:color w:val="000000"/>
                <w:sz w:val="20"/>
              </w:rPr>
            </w:pPr>
            <w:r>
              <w:rPr>
                <w:rFonts w:ascii="Times New Roman;serif" w:hAnsi="Times New Roman;serif"/>
                <w:b w:val="false"/>
                <w:color w:val="000000"/>
                <w:sz w:val="20"/>
              </w:rPr>
              <w:t>732 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CCEEFF" w:val="clear"/>
            <w:tcMar>
              <w:top w:w="0" w:type="dxa"/>
              <w:left w:w="0" w:type="dxa"/>
              <w:bottom w:w="0" w:type="dxa"/>
              <w:right w:w="0" w:type="dxa"/>
            </w:tcMar>
            <w:vAlign w:val="center"/>
          </w:tcPr>
          <w:p>
            <w:pPr>
              <w:pStyle w:val="TableContents"/>
              <w:bidi w:val="0"/>
              <w:spacing w:lineRule="auto" w:line="252" w:before="0" w:after="283"/>
              <w:jc w:val="right"/>
              <w:rPr>
                <w:rFonts w:ascii="Times New Roman;serif" w:hAnsi="Times New Roman;serif"/>
                <w:b w:val="false"/>
                <w:color w:val="000000"/>
                <w:sz w:val="20"/>
              </w:rPr>
            </w:pPr>
            <w:r>
              <w:rPr>
                <w:rFonts w:ascii="Times New Roman;serif" w:hAnsi="Times New Roman;serif"/>
                <w:b w:val="false"/>
                <w:color w:val="000000"/>
                <w:sz w:val="20"/>
              </w:rPr>
              <w:t>816 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45" w:type="dxa"/>
            <w:gridSpan w:val="3"/>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52"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52" w:before="0" w:after="283"/>
              <w:jc w:val="right"/>
              <w:rPr>
                <w:rFonts w:ascii="Times New Roman;serif" w:hAnsi="Times New Roman;serif"/>
                <w:b w:val="false"/>
                <w:color w:val="000000"/>
                <w:sz w:val="20"/>
              </w:rPr>
            </w:pPr>
            <w:r>
              <w:rPr>
                <w:rFonts w:ascii="Times New Roman;serif" w:hAnsi="Times New Roman;serif"/>
                <w:b w:val="false"/>
                <w:color w:val="000000"/>
                <w:sz w:val="20"/>
              </w:rPr>
              <w:t>13,889 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52"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5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52" w:before="0" w:after="283"/>
              <w:jc w:val="right"/>
              <w:rPr>
                <w:rFonts w:ascii="Times New Roman;serif" w:hAnsi="Times New Roman;serif"/>
                <w:b w:val="false"/>
                <w:color w:val="000000"/>
                <w:sz w:val="20"/>
              </w:rPr>
            </w:pPr>
            <w:r>
              <w:rPr>
                <w:rFonts w:ascii="Times New Roman;serif" w:hAnsi="Times New Roman;serif"/>
                <w:b w:val="false"/>
                <w:color w:val="000000"/>
                <w:sz w:val="20"/>
              </w:rPr>
              <w:t>16,535 </w:t>
            </w:r>
          </w:p>
        </w:tc>
        <w:tc>
          <w:tcPr>
            <w:tcW w:w="16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83"/>
        <w:jc w:val="left"/>
        <w:rPr>
          <w:rFonts w:ascii="Times New Roman;serif" w:hAnsi="Times New Roman;serif"/>
          <w:b/>
          <w:color w:val="000000"/>
          <w:sz w:val="20"/>
        </w:rPr>
      </w:pPr>
      <w:r>
        <w:rPr>
          <w:rFonts w:ascii="Times New Roman;serif" w:hAnsi="Times New Roman;serif"/>
          <w:b/>
          <w:color w:val="000000"/>
          <w:sz w:val="20"/>
        </w:rPr>
        <w:t>7. Related Party Transactions</w:t>
      </w:r>
    </w:p>
    <w:p>
      <w:pPr>
        <w:pStyle w:val="TextBody"/>
        <w:bidi w:val="0"/>
        <w:spacing w:lineRule="auto" w:line="288" w:before="20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Since December 31, 2025, there have been no new related party transactions. See Note 7 to the consolidated financial statements included in our Form 10-K for additional information about our related parties.</w:t>
      </w:r>
    </w:p>
    <w:p>
      <w:pPr>
        <w:pStyle w:val="TextBody"/>
        <w:bidi w:val="0"/>
        <w:spacing w:lineRule="auto" w:line="288" w:before="200" w:after="283"/>
        <w:jc w:val="left"/>
        <w:rPr>
          <w:rFonts w:ascii="Times New Roman;serif" w:hAnsi="Times New Roman;serif"/>
          <w:b/>
          <w:i/>
          <w:color w:val="000000"/>
          <w:sz w:val="20"/>
        </w:rPr>
      </w:pPr>
      <w:r>
        <w:rPr>
          <w:rFonts w:ascii="Times New Roman;serif" w:hAnsi="Times New Roman;serif"/>
          <w:b/>
          <w:i/>
          <w:color w:val="000000"/>
          <w:sz w:val="20"/>
        </w:rPr>
        <w:t>Pfizer Investment</w:t>
      </w:r>
    </w:p>
    <w:p>
      <w:pPr>
        <w:pStyle w:val="TextBody"/>
        <w:bidi w:val="0"/>
        <w:spacing w:lineRule="auto" w:line="288" w:before="20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During the three months ended March 31, 2025, we recognized $0.6 million of revenue from our Information Rights Agreement with Pfizer, dated June 29, 2023, pursuant to which we had originally allocated $7.5 million as a contract with a customer under Accounting Standards Codification (“ASC”) Topic 606, Revenue from Contracts with Customers (“ASC 606”). Pfizer ceased to be a related party as of December 31, 2025.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83"/>
        <w:jc w:val="left"/>
        <w:rPr>
          <w:rFonts w:ascii="Times New Roman;serif" w:hAnsi="Times New Roman;serif"/>
          <w:b/>
          <w:color w:val="000000"/>
          <w:sz w:val="20"/>
        </w:rPr>
      </w:pPr>
      <w:r>
        <w:rPr>
          <w:rFonts w:ascii="Times New Roman;serif" w:hAnsi="Times New Roman;serif"/>
          <w:b/>
          <w:color w:val="000000"/>
          <w:sz w:val="20"/>
        </w:rPr>
        <w:t>8. Commitments and Contingencies</w:t>
      </w:r>
    </w:p>
    <w:p>
      <w:pPr>
        <w:pStyle w:val="TextBody"/>
        <w:bidi w:val="0"/>
        <w:spacing w:lineRule="auto" w:line="288" w:before="200" w:after="283"/>
        <w:jc w:val="left"/>
        <w:rPr>
          <w:rFonts w:ascii="Times New Roman;serif" w:hAnsi="Times New Roman;serif"/>
          <w:b/>
          <w:i/>
          <w:color w:val="000000"/>
          <w:sz w:val="20"/>
        </w:rPr>
      </w:pPr>
      <w:r>
        <w:rPr>
          <w:rFonts w:ascii="Times New Roman;serif" w:hAnsi="Times New Roman;serif"/>
          <w:b/>
          <w:i/>
          <w:color w:val="000000"/>
          <w:sz w:val="20"/>
        </w:rPr>
        <w:t>Research, Manufacturing, and License Agreements</w:t>
      </w:r>
    </w:p>
    <w:p>
      <w:pPr>
        <w:pStyle w:val="TextBody"/>
        <w:bidi w:val="0"/>
        <w:spacing w:lineRule="auto" w:line="288" w:before="20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We enter into various agreements in the ordinary course of business, such as those with contract manufacturing organizations (“CMOs”), suppliers, contract research organizations (“CROs”), clinical trial sites, licensors, assignors, and the like. These agreements provide for termination by either party in certain circumstances, generally with less than one-year notice and are, therefore, cancellable contracts and, if cancelled, are not anticipated to have a material effect on our unaudited condensed consolidated financial condition, results of operations, or cash flows. Some of these agreements include contingent payments that will become payable if and when certain development, regulatory, clinical, and/or commercial milestones are achieved by us. As of March 31, 2026, satisfaction and timing of such contingent payments are uncertain and thus cannot be reasonably estimated.</w:t>
      </w:r>
    </w:p>
    <w:p>
      <w:pPr>
        <w:pStyle w:val="TextBody"/>
        <w:bidi w:val="0"/>
        <w:spacing w:lineRule="auto" w:line="288" w:before="200" w:after="283"/>
        <w:jc w:val="left"/>
        <w:rPr>
          <w:rFonts w:ascii="Times New Roman;serif" w:hAnsi="Times New Roman;serif"/>
          <w:b/>
          <w:i/>
          <w:color w:val="000000"/>
          <w:sz w:val="20"/>
        </w:rPr>
      </w:pPr>
      <w:r>
        <w:rPr>
          <w:rFonts w:ascii="Times New Roman;serif" w:hAnsi="Times New Roman;serif"/>
          <w:b/>
          <w:i/>
          <w:color w:val="000000"/>
          <w:sz w:val="20"/>
        </w:rPr>
        <w:t>Guarantees and Indemnifications</w:t>
      </w:r>
    </w:p>
    <w:p>
      <w:pPr>
        <w:pStyle w:val="TextBody"/>
        <w:bidi w:val="0"/>
        <w:spacing w:lineRule="auto" w:line="288" w:before="20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In the ordinary course of business, we enter into agreements that contain a variety of representations and warranties and provide for certain indemnifications by us. Our exposure under these agreements is unknown because claims may be made against us in the future. As of March 31, 2026, and December 31, 2025, we did not have any material indemnification claims that were probable or reasonably possible, and consequently, we have not recorded related liabilities.</w:t>
      </w:r>
    </w:p>
    <w:p>
      <w:pPr>
        <w:pStyle w:val="TextBody"/>
        <w:bidi w:val="0"/>
        <w:spacing w:lineRule="auto" w:line="288" w:before="200" w:after="283"/>
        <w:jc w:val="left"/>
        <w:rPr>
          <w:rFonts w:ascii="Times New Roman;serif" w:hAnsi="Times New Roman;serif"/>
          <w:b/>
          <w:i/>
          <w:color w:val="000000"/>
          <w:sz w:val="20"/>
        </w:rPr>
      </w:pPr>
      <w:r>
        <w:rPr>
          <w:rFonts w:ascii="Times New Roman;serif" w:hAnsi="Times New Roman;serif"/>
          <w:b/>
          <w:i/>
          <w:color w:val="000000"/>
          <w:sz w:val="20"/>
        </w:rPr>
        <w:t>Litigation</w:t>
      </w:r>
    </w:p>
    <w:p>
      <w:pPr>
        <w:pStyle w:val="TextBody"/>
        <w:bidi w:val="0"/>
        <w:spacing w:lineRule="auto" w:line="288" w:before="20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From time to time, we may become involved in litigation arising in the ordinary course of business. We record a liability for such litigation when it is probable that future losses will be incurred and if such losses can be reasonably estimated. Significant judgment by us is required to determine both probability and the estimated amount.</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6480175" cy="146685"/>
                <wp:effectExtent l="0" t="0" r="0" b="0"/>
                <wp:wrapNone/>
                <wp:docPr id="13" name="Frame1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11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11</w:t>
                      </w:r>
                    </w:p>
                  </w:txbxContent>
                </v:textbox>
                <w10:wrap type="none"/>
              </v:rect>
            </w:pict>
          </mc:Fallback>
        </mc:AlternateContent>
      </w:r>
    </w:p>
    <w:p>
      <w:pPr>
        <w:pStyle w:val="TextBody"/>
        <w:bidi w:val="0"/>
        <w:spacing w:lineRule="auto" w:line="288" w:before="0" w:after="0"/>
        <w:jc w:val="left"/>
        <w:rPr/>
      </w:pPr>
      <w:hyperlink w:anchor="i7f5619487a1149c59a3dd36fee75a584_7">
        <w:r>
          <w:rPr>
            <w:rStyle w:val="InternetLink"/>
            <w:rFonts w:ascii="Times New Roman;serif" w:hAnsi="Times New Roman;serif"/>
            <w:b w:val="false"/>
            <w:color w:val="0000FF"/>
            <w:sz w:val="20"/>
            <w:u w:val="single"/>
          </w:rPr>
          <w:t>Table of Contents</w:t>
        </w:r>
      </w:hyperlink>
    </w:p>
    <w:p>
      <w:pPr>
        <w:pStyle w:val="TextBody"/>
        <w:bidi w:val="0"/>
        <w:spacing w:lineRule="auto" w:line="288" w:before="200" w:after="283"/>
        <w:jc w:val="left"/>
        <w:rPr>
          <w:rFonts w:ascii="Times New Roman;serif" w:hAnsi="Times New Roman;serif"/>
          <w:b/>
          <w:color w:val="000000"/>
          <w:sz w:val="20"/>
        </w:rPr>
      </w:pPr>
      <w:r>
        <w:rPr>
          <w:rFonts w:ascii="Times New Roman;serif" w:hAnsi="Times New Roman;serif"/>
          <w:b/>
          <w:color w:val="000000"/>
          <w:sz w:val="20"/>
        </w:rPr>
        <w:t>9. Common Stock</w:t>
      </w:r>
    </w:p>
    <w:p>
      <w:pPr>
        <w:pStyle w:val="TextBody"/>
        <w:bidi w:val="0"/>
        <w:spacing w:lineRule="auto" w:line="288" w:before="20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Shares of our common stock reserved for future issuances consisted of the following:</w:t>
      </w:r>
    </w:p>
    <w:tbl>
      <w:tblPr>
        <w:tblW w:w="8410" w:type="dxa"/>
        <w:jc w:val="left"/>
        <w:tblInd w:w="0" w:type="dxa"/>
        <w:tblLayout w:type="fixed"/>
        <w:tblCellMar>
          <w:top w:w="28" w:type="dxa"/>
          <w:left w:w="28" w:type="dxa"/>
          <w:bottom w:w="28" w:type="dxa"/>
          <w:right w:w="28" w:type="dxa"/>
        </w:tblCellMar>
      </w:tblPr>
      <w:tblGrid>
        <w:gridCol w:w="1761"/>
        <w:gridCol w:w="1547"/>
        <w:gridCol w:w="1552"/>
        <w:gridCol w:w="540"/>
        <w:gridCol w:w="541"/>
        <w:gridCol w:w="421"/>
        <w:gridCol w:w="109"/>
        <w:gridCol w:w="109"/>
        <w:gridCol w:w="109"/>
        <w:gridCol w:w="540"/>
        <w:gridCol w:w="541"/>
        <w:gridCol w:w="640"/>
      </w:tblGrid>
      <w:tr>
        <w:trPr/>
        <w:tc>
          <w:tcPr>
            <w:tcW w:w="1761" w:type="dxa"/>
            <w:tcBorders/>
            <w:vAlign w:val="center"/>
          </w:tcPr>
          <w:p>
            <w:pPr>
              <w:pStyle w:val="TableContents"/>
              <w:bidi w:val="0"/>
              <w:spacing w:before="0" w:after="283"/>
              <w:jc w:val="left"/>
              <w:rPr>
                <w:sz w:val="4"/>
                <w:szCs w:val="4"/>
              </w:rPr>
            </w:pPr>
            <w:r>
              <w:rPr>
                <w:sz w:val="4"/>
                <w:szCs w:val="4"/>
              </w:rPr>
            </w:r>
          </w:p>
        </w:tc>
        <w:tc>
          <w:tcPr>
            <w:tcW w:w="1547" w:type="dxa"/>
            <w:tcBorders/>
            <w:vAlign w:val="center"/>
          </w:tcPr>
          <w:p>
            <w:pPr>
              <w:pStyle w:val="TableContents"/>
              <w:bidi w:val="0"/>
              <w:spacing w:before="0" w:after="283"/>
              <w:jc w:val="left"/>
              <w:rPr>
                <w:sz w:val="4"/>
                <w:szCs w:val="4"/>
              </w:rPr>
            </w:pPr>
            <w:r>
              <w:rPr>
                <w:sz w:val="4"/>
                <w:szCs w:val="4"/>
              </w:rPr>
            </w:r>
          </w:p>
        </w:tc>
        <w:tc>
          <w:tcPr>
            <w:tcW w:w="1552" w:type="dxa"/>
            <w:tcBorders/>
            <w:vAlign w:val="center"/>
          </w:tcPr>
          <w:p>
            <w:pPr>
              <w:pStyle w:val="TableContents"/>
              <w:bidi w:val="0"/>
              <w:spacing w:before="0" w:after="283"/>
              <w:jc w:val="left"/>
              <w:rPr>
                <w:sz w:val="4"/>
                <w:szCs w:val="4"/>
              </w:rPr>
            </w:pPr>
            <w:r>
              <w:rPr>
                <w:sz w:val="4"/>
                <w:szCs w:val="4"/>
              </w:rPr>
            </w:r>
          </w:p>
        </w:tc>
        <w:tc>
          <w:tcPr>
            <w:tcW w:w="540"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40"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640" w:type="dxa"/>
            <w:tcBorders/>
            <w:vAlign w:val="center"/>
          </w:tcPr>
          <w:p>
            <w:pPr>
              <w:pStyle w:val="TableContents"/>
              <w:bidi w:val="0"/>
              <w:spacing w:before="0" w:after="283"/>
              <w:jc w:val="left"/>
              <w:rPr>
                <w:sz w:val="4"/>
                <w:szCs w:val="4"/>
              </w:rPr>
            </w:pPr>
            <w:r>
              <w:rPr>
                <w:sz w:val="4"/>
                <w:szCs w:val="4"/>
              </w:rPr>
            </w:r>
          </w:p>
        </w:tc>
      </w:tr>
      <w:tr>
        <w:trPr/>
        <w:tc>
          <w:tcPr>
            <w:tcW w:w="48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As of</w:t>
              <w:br/>
              <w:t>March 31,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As of</w:t>
              <w:br/>
              <w:t>December 31, 2025</w:t>
            </w:r>
          </w:p>
        </w:tc>
      </w:tr>
      <w:tr>
        <w:trPr/>
        <w:tc>
          <w:tcPr>
            <w:tcW w:w="4860" w:type="dxa"/>
            <w:gridSpan w:val="3"/>
            <w:tcBorders/>
            <w:shd w:fill="CCEEFF" w:val="clear"/>
            <w:tcMar>
              <w:top w:w="0" w:type="dxa"/>
              <w:left w:w="0" w:type="dxa"/>
              <w:bottom w:w="0" w:type="dxa"/>
              <w:right w:w="0" w:type="dxa"/>
            </w:tcMar>
            <w:vAlign w:val="center"/>
          </w:tcPr>
          <w:p>
            <w:pPr>
              <w:pStyle w:val="TableContents"/>
              <w:bidi w:val="0"/>
              <w:spacing w:lineRule="auto" w:line="252" w:before="0" w:after="283"/>
              <w:jc w:val="left"/>
              <w:rPr>
                <w:rFonts w:ascii="Times New Roman;serif" w:hAnsi="Times New Roman;serif"/>
                <w:b w:val="false"/>
                <w:color w:val="000000"/>
                <w:sz w:val="20"/>
              </w:rPr>
            </w:pPr>
            <w:r>
              <w:rPr>
                <w:rFonts w:ascii="Times New Roman;serif" w:hAnsi="Times New Roman;serif"/>
                <w:b w:val="false"/>
                <w:color w:val="000000"/>
                <w:sz w:val="20"/>
              </w:rPr>
              <w:t>Stock options, issued and outstanding</w:t>
            </w:r>
          </w:p>
        </w:tc>
        <w:tc>
          <w:tcPr>
            <w:tcW w:w="108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52" w:before="0" w:after="283"/>
              <w:jc w:val="right"/>
              <w:rPr>
                <w:rFonts w:ascii="Times New Roman;serif" w:hAnsi="Times New Roman;serif"/>
                <w:b w:val="false"/>
                <w:color w:val="000000"/>
                <w:sz w:val="20"/>
              </w:rPr>
            </w:pPr>
            <w:r>
              <w:rPr>
                <w:rFonts w:ascii="Times New Roman;serif" w:hAnsi="Times New Roman;serif"/>
                <w:b w:val="false"/>
                <w:color w:val="000000"/>
                <w:sz w:val="20"/>
              </w:rPr>
              <w:t>15,895,762 </w:t>
            </w:r>
          </w:p>
        </w:tc>
        <w:tc>
          <w:tcPr>
            <w:tcW w:w="42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52" w:before="0" w:after="283"/>
              <w:jc w:val="right"/>
              <w:rPr>
                <w:rFonts w:ascii="Times New Roman;serif" w:hAnsi="Times New Roman;serif"/>
                <w:b w:val="false"/>
                <w:color w:val="000000"/>
                <w:sz w:val="20"/>
              </w:rPr>
            </w:pPr>
            <w:r>
              <w:rPr>
                <w:rFonts w:ascii="Times New Roman;serif" w:hAnsi="Times New Roman;serif"/>
                <w:b w:val="false"/>
                <w:color w:val="000000"/>
                <w:sz w:val="20"/>
              </w:rPr>
              <w:t>12,511,072 </w:t>
            </w:r>
          </w:p>
        </w:tc>
        <w:tc>
          <w:tcPr>
            <w:tcW w:w="64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60" w:type="dxa"/>
            <w:gridSpan w:val="3"/>
            <w:tcBorders/>
            <w:shd w:fill="FFFFFF" w:val="clear"/>
            <w:tcMar>
              <w:top w:w="0" w:type="dxa"/>
              <w:left w:w="0" w:type="dxa"/>
              <w:bottom w:w="0" w:type="dxa"/>
              <w:right w:w="0" w:type="dxa"/>
            </w:tcMar>
            <w:vAlign w:val="center"/>
          </w:tcPr>
          <w:p>
            <w:pPr>
              <w:pStyle w:val="TableContents"/>
              <w:bidi w:val="0"/>
              <w:spacing w:lineRule="auto" w:line="252" w:before="0" w:after="0"/>
              <w:jc w:val="left"/>
              <w:rPr>
                <w:rFonts w:ascii="Times New Roman;serif" w:hAnsi="Times New Roman;serif"/>
                <w:b w:val="false"/>
                <w:color w:val="000000"/>
                <w:sz w:val="20"/>
              </w:rPr>
            </w:pPr>
            <w:r>
              <w:rPr>
                <w:rFonts w:ascii="Times New Roman;serif" w:hAnsi="Times New Roman;serif"/>
                <w:b w:val="false"/>
                <w:color w:val="000000"/>
                <w:sz w:val="20"/>
              </w:rPr>
              <w:t>Shares of common stock, authorized for future issuances</w:t>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serif" w:hAnsi="Times New Roman;serif"/>
                <w:b w:val="false"/>
                <w:color w:val="000000"/>
                <w:sz w:val="20"/>
              </w:rPr>
            </w:pPr>
            <w:r>
              <w:rPr>
                <w:rFonts w:ascii="Times New Roman;serif" w:hAnsi="Times New Roman;serif"/>
                <w:b w:val="false"/>
                <w:color w:val="000000"/>
                <w:sz w:val="20"/>
              </w:rPr>
              <w:t>9,338,658 </w:t>
            </w:r>
          </w:p>
        </w:tc>
        <w:tc>
          <w:tcPr>
            <w:tcW w:w="4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serif" w:hAnsi="Times New Roman;serif"/>
                <w:b w:val="false"/>
                <w:color w:val="000000"/>
                <w:sz w:val="20"/>
              </w:rPr>
            </w:pPr>
            <w:r>
              <w:rPr>
                <w:rFonts w:ascii="Times New Roman;serif" w:hAnsi="Times New Roman;serif"/>
                <w:b w:val="false"/>
                <w:color w:val="000000"/>
                <w:sz w:val="20"/>
              </w:rPr>
              <w:t>9,192,963 </w:t>
            </w:r>
          </w:p>
        </w:tc>
        <w:tc>
          <w:tcPr>
            <w:tcW w:w="6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60" w:type="dxa"/>
            <w:gridSpan w:val="3"/>
            <w:tcBorders/>
            <w:shd w:fill="CCEEFF" w:val="clear"/>
            <w:tcMar>
              <w:top w:w="0" w:type="dxa"/>
              <w:left w:w="0" w:type="dxa"/>
              <w:bottom w:w="0" w:type="dxa"/>
              <w:right w:w="0" w:type="dxa"/>
            </w:tcMar>
            <w:vAlign w:val="center"/>
          </w:tcPr>
          <w:p>
            <w:pPr>
              <w:pStyle w:val="TableContents"/>
              <w:bidi w:val="0"/>
              <w:spacing w:lineRule="auto" w:line="252" w:before="0" w:after="0"/>
              <w:jc w:val="left"/>
              <w:rPr>
                <w:rFonts w:ascii="Times New Roman;serif" w:hAnsi="Times New Roman;serif"/>
                <w:b w:val="false"/>
                <w:color w:val="000000"/>
                <w:sz w:val="20"/>
              </w:rPr>
            </w:pPr>
            <w:r>
              <w:rPr>
                <w:rFonts w:ascii="Times New Roman;serif" w:hAnsi="Times New Roman;serif"/>
                <w:b w:val="false"/>
                <w:color w:val="000000"/>
                <w:sz w:val="20"/>
              </w:rPr>
              <w:t>Shares committed under ESPP</w:t>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52" w:before="0" w:after="283"/>
              <w:jc w:val="right"/>
              <w:rPr>
                <w:rFonts w:ascii="Times New Roman;serif" w:hAnsi="Times New Roman;serif"/>
                <w:b w:val="false"/>
                <w:color w:val="000000"/>
                <w:sz w:val="20"/>
              </w:rPr>
            </w:pPr>
            <w:r>
              <w:rPr>
                <w:rFonts w:ascii="Times New Roman;serif" w:hAnsi="Times New Roman;serif"/>
                <w:b w:val="false"/>
                <w:color w:val="000000"/>
                <w:sz w:val="20"/>
              </w:rPr>
              <w:t>3,029,080 </w:t>
            </w:r>
          </w:p>
        </w:tc>
        <w:tc>
          <w:tcPr>
            <w:tcW w:w="4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52" w:before="0" w:after="283"/>
              <w:jc w:val="right"/>
              <w:rPr>
                <w:rFonts w:ascii="Times New Roman;serif" w:hAnsi="Times New Roman;serif"/>
                <w:b w:val="false"/>
                <w:color w:val="000000"/>
                <w:sz w:val="20"/>
              </w:rPr>
            </w:pPr>
            <w:r>
              <w:rPr>
                <w:rFonts w:ascii="Times New Roman;serif" w:hAnsi="Times New Roman;serif"/>
                <w:b w:val="false"/>
                <w:color w:val="000000"/>
                <w:sz w:val="20"/>
              </w:rPr>
              <w:t>2,426,055 </w:t>
            </w:r>
          </w:p>
        </w:tc>
        <w:tc>
          <w:tcPr>
            <w:tcW w:w="6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60" w:type="dxa"/>
            <w:gridSpan w:val="3"/>
            <w:tcBorders/>
            <w:shd w:fill="FFFFFF" w:val="clear"/>
            <w:tcMar>
              <w:top w:w="0" w:type="dxa"/>
              <w:left w:w="0" w:type="dxa"/>
              <w:bottom w:w="0" w:type="dxa"/>
              <w:right w:w="0" w:type="dxa"/>
            </w:tcMar>
            <w:vAlign w:val="center"/>
          </w:tcPr>
          <w:p>
            <w:pPr>
              <w:pStyle w:val="TableContents"/>
              <w:bidi w:val="0"/>
              <w:spacing w:lineRule="auto" w:line="252" w:before="0" w:after="0"/>
              <w:jc w:val="left"/>
              <w:rPr>
                <w:rFonts w:ascii="Times New Roman;serif" w:hAnsi="Times New Roman;serif"/>
                <w:b w:val="false"/>
                <w:color w:val="000000"/>
                <w:sz w:val="20"/>
              </w:rPr>
            </w:pPr>
            <w:r>
              <w:rPr>
                <w:rFonts w:ascii="Times New Roman;serif" w:hAnsi="Times New Roman;serif"/>
                <w:b w:val="false"/>
                <w:color w:val="000000"/>
                <w:sz w:val="20"/>
              </w:rPr>
              <w:t>Unvested RSUs</w:t>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serif" w:hAnsi="Times New Roman;serif"/>
                <w:b w:val="false"/>
                <w:color w:val="000000"/>
                <w:sz w:val="20"/>
              </w:rPr>
            </w:pPr>
            <w:r>
              <w:rPr>
                <w:rFonts w:ascii="Times New Roman;serif" w:hAnsi="Times New Roman;serif"/>
                <w:b w:val="false"/>
                <w:color w:val="000000"/>
                <w:sz w:val="20"/>
              </w:rPr>
              <w:t>3,019,668 </w:t>
            </w:r>
          </w:p>
        </w:tc>
        <w:tc>
          <w:tcPr>
            <w:tcW w:w="4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serif" w:hAnsi="Times New Roman;serif"/>
                <w:b w:val="false"/>
                <w:color w:val="000000"/>
                <w:sz w:val="20"/>
              </w:rPr>
            </w:pPr>
            <w:r>
              <w:rPr>
                <w:rFonts w:ascii="Times New Roman;serif" w:hAnsi="Times New Roman;serif"/>
                <w:b w:val="false"/>
                <w:color w:val="000000"/>
                <w:sz w:val="20"/>
              </w:rPr>
              <w:t>2,173,234 </w:t>
            </w:r>
          </w:p>
        </w:tc>
        <w:tc>
          <w:tcPr>
            <w:tcW w:w="6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60" w:type="dxa"/>
            <w:gridSpan w:val="3"/>
            <w:tcBorders/>
            <w:shd w:fill="CCEEFF" w:val="clear"/>
            <w:tcMar>
              <w:top w:w="0" w:type="dxa"/>
              <w:left w:w="0" w:type="dxa"/>
              <w:bottom w:w="0" w:type="dxa"/>
              <w:right w:w="0" w:type="dxa"/>
            </w:tcMar>
            <w:vAlign w:val="center"/>
          </w:tcPr>
          <w:p>
            <w:pPr>
              <w:pStyle w:val="TableContents"/>
              <w:bidi w:val="0"/>
              <w:spacing w:lineRule="auto" w:line="252" w:before="0" w:after="283"/>
              <w:jc w:val="left"/>
              <w:rPr>
                <w:rFonts w:ascii="Times New Roman;serif" w:hAnsi="Times New Roman;serif"/>
                <w:b w:val="false"/>
                <w:color w:val="000000"/>
                <w:sz w:val="20"/>
              </w:rPr>
            </w:pPr>
            <w:r>
              <w:rPr>
                <w:rFonts w:ascii="Times New Roman;serif" w:hAnsi="Times New Roman;serif"/>
                <w:b w:val="false"/>
                <w:color w:val="000000"/>
                <w:sz w:val="20"/>
              </w:rPr>
              <w:t>Total shares of common stock reserved for future issuances</w:t>
            </w:r>
          </w:p>
        </w:tc>
        <w:tc>
          <w:tcPr>
            <w:tcW w:w="1081"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31,283,168 </w:t>
            </w:r>
          </w:p>
        </w:tc>
        <w:tc>
          <w:tcPr>
            <w:tcW w:w="4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26,303,324 </w:t>
            </w:r>
          </w:p>
        </w:tc>
        <w:tc>
          <w:tcPr>
            <w:tcW w:w="64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00" w:after="283"/>
        <w:jc w:val="left"/>
        <w:rPr>
          <w:rFonts w:ascii="Times New Roman;serif" w:hAnsi="Times New Roman;serif"/>
          <w:b/>
          <w:i/>
          <w:color w:val="000000"/>
          <w:sz w:val="20"/>
        </w:rPr>
      </w:pPr>
      <w:r>
        <w:rPr>
          <w:rFonts w:ascii="Times New Roman;serif" w:hAnsi="Times New Roman;serif"/>
          <w:b/>
          <w:i/>
          <w:color w:val="000000"/>
          <w:sz w:val="20"/>
        </w:rPr>
        <w:t>Shelf Registration Statement</w:t>
      </w:r>
    </w:p>
    <w:p>
      <w:pPr>
        <w:pStyle w:val="TextBody"/>
        <w:bidi w:val="0"/>
        <w:spacing w:lineRule="auto" w:line="288" w:before="200" w:after="283"/>
        <w:ind w:left="0" w:right="0" w:firstLine="720"/>
        <w:jc w:val="left"/>
        <w:rPr/>
      </w:pPr>
      <w:r>
        <w:rPr>
          <w:rFonts w:ascii="Times New Roman;serif" w:hAnsi="Times New Roman;serif"/>
          <w:b w:val="false"/>
          <w:color w:val="000000"/>
          <w:sz w:val="20"/>
        </w:rPr>
        <w:t>On May 8, 2025, we filed a shelf registration statement on Form S-3 (“2025 Shelf Registration Statement”), which was declared effective by the SEC on May 14, 2025. Pursuant to the 2025 Shelf Registration Statement, we may, from time to time, sell up to $300.0 million of common stock, preferred stock, debt securities, warrants, rights, or units comprised of any combination thereof (including the $100.0 million of common stock reserved under the 2025 Shelf Registration Statement for our at-the-market equity offering program described below). As of March 31, 2026, we had $293.4 million</w:t>
      </w:r>
      <w:r>
        <w:rPr>
          <w:color w:val="000000"/>
        </w:rPr>
        <w:t xml:space="preserve"> </w:t>
      </w:r>
      <w:r>
        <w:rPr>
          <w:rFonts w:ascii="Times New Roman;serif" w:hAnsi="Times New Roman;serif"/>
          <w:b w:val="false"/>
          <w:color w:val="000000"/>
          <w:sz w:val="20"/>
        </w:rPr>
        <w:t xml:space="preserve">available for sale under the 2025 Shelf Registration Statement. </w:t>
      </w:r>
    </w:p>
    <w:p>
      <w:pPr>
        <w:pStyle w:val="TextBody"/>
        <w:bidi w:val="0"/>
        <w:spacing w:lineRule="auto" w:line="288" w:before="200" w:after="283"/>
        <w:jc w:val="left"/>
        <w:rPr>
          <w:rFonts w:ascii="Times New Roman;serif" w:hAnsi="Times New Roman;serif"/>
          <w:b/>
          <w:i/>
          <w:color w:val="000000"/>
          <w:sz w:val="20"/>
        </w:rPr>
      </w:pPr>
      <w:r>
        <w:rPr>
          <w:rFonts w:ascii="Times New Roman;serif" w:hAnsi="Times New Roman;serif"/>
          <w:b/>
          <w:i/>
          <w:color w:val="000000"/>
          <w:sz w:val="20"/>
        </w:rPr>
        <w:t>At-the-Market Equity Offering Program</w:t>
      </w:r>
    </w:p>
    <w:p>
      <w:pPr>
        <w:pStyle w:val="TextBody"/>
        <w:bidi w:val="0"/>
        <w:spacing w:lineRule="auto" w:line="288" w:before="200" w:after="283"/>
        <w:ind w:left="0" w:right="0" w:firstLine="720"/>
        <w:jc w:val="left"/>
        <w:rPr/>
      </w:pPr>
      <w:r>
        <w:rPr>
          <w:rFonts w:ascii="Times New Roman;serif" w:hAnsi="Times New Roman;serif"/>
          <w:b w:val="false"/>
          <w:color w:val="000000"/>
          <w:sz w:val="20"/>
        </w:rPr>
        <w:t>On August 9, 2022, we entered into an at-the-market Open Market Sale Agreement</w:t>
      </w:r>
      <w:r>
        <w:rPr>
          <w:rFonts w:ascii="Times New Roman;serif" w:hAnsi="Times New Roman;serif"/>
          <w:b w:val="false"/>
          <w:color w:val="000000"/>
          <w:sz w:val="13"/>
        </w:rPr>
        <w:t xml:space="preserve">SM </w:t>
      </w:r>
      <w:r>
        <w:rPr>
          <w:rFonts w:ascii="Times New Roman;serif" w:hAnsi="Times New Roman;serif"/>
          <w:b w:val="false"/>
          <w:color w:val="000000"/>
          <w:sz w:val="20"/>
        </w:rPr>
        <w:t>(“ATM Sales Agreement”) with Jefferies LLC (“Jefferies”) in connection with a prior shelf registration statement. With the effectiveness of the 2025 Shelf Registration Statement, we refreshed our at-the-market equity offering program under the ATM Sales Agreement. We may, from time to time, sell and issue shares of our common stock, through Jefferies as sales agent under the ATM Sales Agreement, having an aggregate offering price of up to $100.0 million in gross proceeds under the 2025 Shelf Registration Statement.</w:t>
      </w:r>
    </w:p>
    <w:p>
      <w:pPr>
        <w:pStyle w:val="TextBody"/>
        <w:bidi w:val="0"/>
        <w:spacing w:lineRule="auto" w:line="288" w:before="20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During the three months ended March 31, 2026, we sold 1,078,768 shares of our common stock at an average price of $2.11 per share, in accordance with the ATM Sales Agreement and the 2025 Shelf Registration Statement, for aggregate gross proceeds of $2.3 million ($2.2 million net of offering expenses).</w:t>
      </w:r>
    </w:p>
    <w:p>
      <w:pPr>
        <w:pStyle w:val="TextBody"/>
        <w:bidi w:val="0"/>
        <w:spacing w:lineRule="auto" w:line="288" w:before="20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We did not sell any shares of our common stock under the ATM Sales Agreement during the three months ended March 31, 2025. </w:t>
      </w:r>
    </w:p>
    <w:p>
      <w:pPr>
        <w:pStyle w:val="TextBody"/>
        <w:bidi w:val="0"/>
        <w:spacing w:lineRule="auto" w:line="288" w:before="20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As of March 31, 2026, $93.4 million of shares of our common stock remained available for sale under the 2025 Shelf Registration Statement pursuant to the ATM Sales Agreement.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83"/>
        <w:jc w:val="left"/>
        <w:rPr>
          <w:rFonts w:ascii="Times New Roman;serif" w:hAnsi="Times New Roman;serif"/>
          <w:b/>
          <w:color w:val="000000"/>
          <w:sz w:val="20"/>
        </w:rPr>
      </w:pPr>
      <w:r>
        <w:rPr>
          <w:rFonts w:ascii="Times New Roman;serif" w:hAnsi="Times New Roman;serif"/>
          <w:b/>
          <w:color w:val="000000"/>
          <w:sz w:val="20"/>
        </w:rPr>
        <w:t xml:space="preserve">10. Stock-Based Compensation </w:t>
      </w:r>
    </w:p>
    <w:p>
      <w:pPr>
        <w:pStyle w:val="TextBody"/>
        <w:bidi w:val="0"/>
        <w:spacing w:lineRule="auto" w:line="288" w:before="200" w:after="283"/>
        <w:jc w:val="left"/>
        <w:rPr>
          <w:rFonts w:ascii="Times New Roman;serif" w:hAnsi="Times New Roman;serif"/>
          <w:b/>
          <w:i/>
          <w:color w:val="000000"/>
          <w:sz w:val="20"/>
        </w:rPr>
      </w:pPr>
      <w:r>
        <w:rPr>
          <w:rFonts w:ascii="Times New Roman;serif" w:hAnsi="Times New Roman;serif"/>
          <w:b/>
          <w:i/>
          <w:color w:val="000000"/>
          <w:sz w:val="20"/>
        </w:rPr>
        <w:t>Equity Incentive Plans</w:t>
      </w:r>
    </w:p>
    <w:p>
      <w:pPr>
        <w:pStyle w:val="TextBody"/>
        <w:bidi w:val="0"/>
        <w:spacing w:lineRule="auto" w:line="288" w:before="20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In July 2021, our board of directors adopted, and our stockholders approved, the 2021 Equity Incentive Plan (“2021 Plan”) that became effective on July 22, 2021. As of March 31, 2026, we had 9,338,658 shares available for issuance under the 2021 Plan.</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6480175" cy="146685"/>
                <wp:effectExtent l="0" t="0" r="0" b="0"/>
                <wp:wrapNone/>
                <wp:docPr id="14" name="Frame1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12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12</w:t>
                      </w:r>
                    </w:p>
                  </w:txbxContent>
                </v:textbox>
                <w10:wrap type="none"/>
              </v:rect>
            </w:pict>
          </mc:Fallback>
        </mc:AlternateContent>
      </w:r>
    </w:p>
    <w:p>
      <w:pPr>
        <w:pStyle w:val="TextBody"/>
        <w:bidi w:val="0"/>
        <w:spacing w:lineRule="auto" w:line="288" w:before="0" w:after="0"/>
        <w:jc w:val="left"/>
        <w:rPr/>
      </w:pPr>
      <w:hyperlink w:anchor="i7f5619487a1149c59a3dd36fee75a584_7">
        <w:r>
          <w:rPr>
            <w:rStyle w:val="InternetLink"/>
            <w:rFonts w:ascii="Times New Roman;serif" w:hAnsi="Times New Roman;serif"/>
            <w:b w:val="false"/>
            <w:color w:val="0000FF"/>
            <w:sz w:val="20"/>
            <w:u w:val="single"/>
          </w:rPr>
          <w:t>Table of Contents</w:t>
        </w:r>
      </w:hyperlink>
    </w:p>
    <w:p>
      <w:pPr>
        <w:pStyle w:val="TextBody"/>
        <w:bidi w:val="0"/>
        <w:spacing w:lineRule="auto" w:line="288" w:before="200" w:after="283"/>
        <w:jc w:val="left"/>
        <w:rPr>
          <w:rFonts w:ascii="Times New Roman;serif" w:hAnsi="Times New Roman;serif"/>
          <w:b/>
          <w:i/>
          <w:color w:val="000000"/>
          <w:sz w:val="20"/>
        </w:rPr>
      </w:pPr>
      <w:r>
        <w:rPr>
          <w:rFonts w:ascii="Times New Roman;serif" w:hAnsi="Times New Roman;serif"/>
          <w:b/>
          <w:i/>
          <w:color w:val="000000"/>
          <w:sz w:val="20"/>
        </w:rPr>
        <w:t>Stock Options</w:t>
      </w:r>
    </w:p>
    <w:p>
      <w:pPr>
        <w:pStyle w:val="TextBody"/>
        <w:bidi w:val="0"/>
        <w:spacing w:lineRule="auto" w:line="288" w:before="20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following table summarizes stock option activity, including performance-based stock options (“PBSOs”), under our equity incentive plans for the three months ended March 31, 2026:</w:t>
      </w:r>
    </w:p>
    <w:tbl>
      <w:tblPr>
        <w:tblW w:w="10205" w:type="dxa"/>
        <w:jc w:val="left"/>
        <w:tblInd w:w="0" w:type="dxa"/>
        <w:tblLayout w:type="fixed"/>
        <w:tblCellMar>
          <w:top w:w="28" w:type="dxa"/>
          <w:left w:w="28" w:type="dxa"/>
          <w:bottom w:w="28" w:type="dxa"/>
          <w:right w:w="28" w:type="dxa"/>
        </w:tblCellMar>
      </w:tblPr>
      <w:tblGrid>
        <w:gridCol w:w="1218"/>
        <w:gridCol w:w="1069"/>
        <w:gridCol w:w="1075"/>
        <w:gridCol w:w="639"/>
        <w:gridCol w:w="547"/>
        <w:gridCol w:w="549"/>
        <w:gridCol w:w="109"/>
        <w:gridCol w:w="109"/>
        <w:gridCol w:w="109"/>
        <w:gridCol w:w="267"/>
        <w:gridCol w:w="648"/>
        <w:gridCol w:w="138"/>
        <w:gridCol w:w="109"/>
        <w:gridCol w:w="109"/>
        <w:gridCol w:w="109"/>
        <w:gridCol w:w="344"/>
        <w:gridCol w:w="344"/>
        <w:gridCol w:w="345"/>
        <w:gridCol w:w="109"/>
        <w:gridCol w:w="109"/>
        <w:gridCol w:w="109"/>
        <w:gridCol w:w="437"/>
        <w:gridCol w:w="1277"/>
        <w:gridCol w:w="327"/>
      </w:tblGrid>
      <w:tr>
        <w:trPr/>
        <w:tc>
          <w:tcPr>
            <w:tcW w:w="1218" w:type="dxa"/>
            <w:tcBorders/>
            <w:vAlign w:val="center"/>
          </w:tcPr>
          <w:p>
            <w:pPr>
              <w:pStyle w:val="TableContents"/>
              <w:bidi w:val="0"/>
              <w:spacing w:before="0" w:after="283"/>
              <w:jc w:val="left"/>
              <w:rPr>
                <w:sz w:val="4"/>
                <w:szCs w:val="4"/>
              </w:rPr>
            </w:pPr>
            <w:r>
              <w:rPr>
                <w:sz w:val="4"/>
                <w:szCs w:val="4"/>
              </w:rPr>
            </w:r>
          </w:p>
        </w:tc>
        <w:tc>
          <w:tcPr>
            <w:tcW w:w="1069" w:type="dxa"/>
            <w:tcBorders/>
            <w:vAlign w:val="center"/>
          </w:tcPr>
          <w:p>
            <w:pPr>
              <w:pStyle w:val="TableContents"/>
              <w:bidi w:val="0"/>
              <w:spacing w:before="0" w:after="283"/>
              <w:jc w:val="left"/>
              <w:rPr>
                <w:sz w:val="4"/>
                <w:szCs w:val="4"/>
              </w:rPr>
            </w:pPr>
            <w:r>
              <w:rPr>
                <w:sz w:val="4"/>
                <w:szCs w:val="4"/>
              </w:rPr>
            </w:r>
          </w:p>
        </w:tc>
        <w:tc>
          <w:tcPr>
            <w:tcW w:w="1075" w:type="dxa"/>
            <w:tcBorders/>
            <w:vAlign w:val="center"/>
          </w:tcPr>
          <w:p>
            <w:pPr>
              <w:pStyle w:val="TableContents"/>
              <w:bidi w:val="0"/>
              <w:spacing w:before="0" w:after="283"/>
              <w:jc w:val="left"/>
              <w:rPr>
                <w:sz w:val="4"/>
                <w:szCs w:val="4"/>
              </w:rPr>
            </w:pPr>
            <w:r>
              <w:rPr>
                <w:sz w:val="4"/>
                <w:szCs w:val="4"/>
              </w:rPr>
            </w:r>
          </w:p>
        </w:tc>
        <w:tc>
          <w:tcPr>
            <w:tcW w:w="639" w:type="dxa"/>
            <w:tcBorders/>
            <w:vAlign w:val="center"/>
          </w:tcPr>
          <w:p>
            <w:pPr>
              <w:pStyle w:val="TableContents"/>
              <w:bidi w:val="0"/>
              <w:spacing w:before="0" w:after="283"/>
              <w:jc w:val="left"/>
              <w:rPr>
                <w:sz w:val="4"/>
                <w:szCs w:val="4"/>
              </w:rPr>
            </w:pPr>
            <w:r>
              <w:rPr>
                <w:sz w:val="4"/>
                <w:szCs w:val="4"/>
              </w:rPr>
            </w:r>
          </w:p>
        </w:tc>
        <w:tc>
          <w:tcPr>
            <w:tcW w:w="547" w:type="dxa"/>
            <w:tcBorders/>
            <w:vAlign w:val="center"/>
          </w:tcPr>
          <w:p>
            <w:pPr>
              <w:pStyle w:val="TableContents"/>
              <w:bidi w:val="0"/>
              <w:spacing w:before="0" w:after="283"/>
              <w:jc w:val="left"/>
              <w:rPr>
                <w:sz w:val="4"/>
                <w:szCs w:val="4"/>
              </w:rPr>
            </w:pPr>
            <w:r>
              <w:rPr>
                <w:sz w:val="4"/>
                <w:szCs w:val="4"/>
              </w:rPr>
            </w:r>
          </w:p>
        </w:tc>
        <w:tc>
          <w:tcPr>
            <w:tcW w:w="54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7" w:type="dxa"/>
            <w:tcBorders/>
            <w:vAlign w:val="center"/>
          </w:tcPr>
          <w:p>
            <w:pPr>
              <w:pStyle w:val="TableContents"/>
              <w:bidi w:val="0"/>
              <w:spacing w:before="0" w:after="283"/>
              <w:jc w:val="left"/>
              <w:rPr>
                <w:sz w:val="4"/>
                <w:szCs w:val="4"/>
              </w:rPr>
            </w:pPr>
            <w:r>
              <w:rPr>
                <w:sz w:val="4"/>
                <w:szCs w:val="4"/>
              </w:rPr>
            </w:r>
          </w:p>
        </w:tc>
        <w:tc>
          <w:tcPr>
            <w:tcW w:w="648"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4" w:type="dxa"/>
            <w:tcBorders/>
            <w:vAlign w:val="center"/>
          </w:tcPr>
          <w:p>
            <w:pPr>
              <w:pStyle w:val="TableContents"/>
              <w:bidi w:val="0"/>
              <w:spacing w:before="0" w:after="283"/>
              <w:jc w:val="left"/>
              <w:rPr>
                <w:sz w:val="4"/>
                <w:szCs w:val="4"/>
              </w:rPr>
            </w:pPr>
            <w:r>
              <w:rPr>
                <w:sz w:val="4"/>
                <w:szCs w:val="4"/>
              </w:rPr>
            </w:r>
          </w:p>
        </w:tc>
        <w:tc>
          <w:tcPr>
            <w:tcW w:w="344" w:type="dxa"/>
            <w:tcBorders/>
            <w:vAlign w:val="center"/>
          </w:tcPr>
          <w:p>
            <w:pPr>
              <w:pStyle w:val="TableContents"/>
              <w:bidi w:val="0"/>
              <w:spacing w:before="0" w:after="283"/>
              <w:jc w:val="left"/>
              <w:rPr>
                <w:sz w:val="4"/>
                <w:szCs w:val="4"/>
              </w:rPr>
            </w:pPr>
            <w:r>
              <w:rPr>
                <w:sz w:val="4"/>
                <w:szCs w:val="4"/>
              </w:rPr>
            </w:r>
          </w:p>
        </w:tc>
        <w:tc>
          <w:tcPr>
            <w:tcW w:w="34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37" w:type="dxa"/>
            <w:tcBorders/>
            <w:vAlign w:val="center"/>
          </w:tcPr>
          <w:p>
            <w:pPr>
              <w:pStyle w:val="TableContents"/>
              <w:bidi w:val="0"/>
              <w:spacing w:before="0" w:after="283"/>
              <w:jc w:val="left"/>
              <w:rPr>
                <w:sz w:val="4"/>
                <w:szCs w:val="4"/>
              </w:rPr>
            </w:pPr>
            <w:r>
              <w:rPr>
                <w:sz w:val="4"/>
                <w:szCs w:val="4"/>
              </w:rPr>
            </w:r>
          </w:p>
        </w:tc>
        <w:tc>
          <w:tcPr>
            <w:tcW w:w="1277" w:type="dxa"/>
            <w:tcBorders/>
            <w:vAlign w:val="center"/>
          </w:tcPr>
          <w:p>
            <w:pPr>
              <w:pStyle w:val="TableContents"/>
              <w:bidi w:val="0"/>
              <w:spacing w:before="0" w:after="283"/>
              <w:jc w:val="left"/>
              <w:rPr>
                <w:sz w:val="4"/>
                <w:szCs w:val="4"/>
              </w:rPr>
            </w:pPr>
            <w:r>
              <w:rPr>
                <w:sz w:val="4"/>
                <w:szCs w:val="4"/>
              </w:rPr>
            </w:r>
          </w:p>
        </w:tc>
        <w:tc>
          <w:tcPr>
            <w:tcW w:w="327" w:type="dxa"/>
            <w:tcBorders/>
            <w:vAlign w:val="center"/>
          </w:tcPr>
          <w:p>
            <w:pPr>
              <w:pStyle w:val="TableContents"/>
              <w:bidi w:val="0"/>
              <w:spacing w:before="0" w:after="283"/>
              <w:jc w:val="left"/>
              <w:rPr>
                <w:sz w:val="4"/>
                <w:szCs w:val="4"/>
              </w:rPr>
            </w:pPr>
            <w:r>
              <w:rPr>
                <w:sz w:val="4"/>
                <w:szCs w:val="4"/>
              </w:rPr>
            </w:r>
          </w:p>
        </w:tc>
      </w:tr>
      <w:tr>
        <w:trPr/>
        <w:tc>
          <w:tcPr>
            <w:tcW w:w="336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35"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6"/>
                <w:shd w:fill="FFFFFF" w:val="clear"/>
              </w:rPr>
            </w:pPr>
            <w:r>
              <w:rPr>
                <w:rFonts w:ascii="Times New Roman;serif" w:hAnsi="Times New Roman;serif"/>
                <w:b/>
                <w:color w:val="000000"/>
                <w:sz w:val="16"/>
                <w:shd w:fill="FFFFFF" w:val="clear"/>
              </w:rPr>
              <w:t>Stock Options and PBSOs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Weighted-</w:t>
              <w:br/>
              <w:t>Average</w:t>
              <w:br/>
              <w:t>Exercise Price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Weighted-</w:t>
              <w:br/>
              <w:t>Average</w:t>
              <w:br/>
              <w:t>Remaining</w:t>
              <w:br/>
              <w:t>Contractual</w:t>
              <w:br/>
              <w:t>Term (years)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1"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Aggregate</w:t>
            </w:r>
          </w:p>
          <w:p>
            <w:pPr>
              <w:pStyle w:val="TableContents"/>
              <w:bidi w:val="0"/>
              <w:spacing w:lineRule="auto" w:line="240" w:before="0" w:after="0"/>
              <w:jc w:val="center"/>
              <w:rPr/>
            </w:pPr>
            <w:r>
              <w:rPr>
                <w:rFonts w:ascii="Times New Roman;serif" w:hAnsi="Times New Roman;serif"/>
                <w:b/>
                <w:color w:val="000000"/>
                <w:sz w:val="16"/>
              </w:rPr>
              <w:t>Intrinsic Value (in thousands)</w:t>
            </w:r>
            <w:r>
              <w:rPr>
                <w:rFonts w:ascii="Times New Roman;serif" w:hAnsi="Times New Roman;serif"/>
                <w:b/>
                <w:color w:val="000000"/>
                <w:sz w:val="10"/>
              </w:rPr>
              <w:t>(1)</w:t>
            </w:r>
          </w:p>
        </w:tc>
      </w:tr>
      <w:tr>
        <w:trPr/>
        <w:tc>
          <w:tcPr>
            <w:tcW w:w="336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3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62" w:type="dxa"/>
            <w:gridSpan w:val="3"/>
            <w:tcBorders/>
            <w:shd w:fill="CCEEFF" w:val="clear"/>
            <w:tcMar>
              <w:top w:w="0" w:type="dxa"/>
              <w:left w:w="0" w:type="dxa"/>
              <w:bottom w:w="0" w:type="dxa"/>
              <w:right w:w="0" w:type="dxa"/>
            </w:tcMar>
            <w:vAlign w:val="center"/>
          </w:tcPr>
          <w:p>
            <w:pPr>
              <w:pStyle w:val="TableContents"/>
              <w:bidi w:val="0"/>
              <w:spacing w:lineRule="auto" w:line="252" w:before="0" w:after="283"/>
              <w:jc w:val="left"/>
              <w:rPr>
                <w:rFonts w:ascii="Times New Roman;serif" w:hAnsi="Times New Roman;serif"/>
                <w:b w:val="false"/>
                <w:color w:val="000000"/>
                <w:sz w:val="20"/>
              </w:rPr>
            </w:pPr>
            <w:r>
              <w:rPr>
                <w:rFonts w:ascii="Times New Roman;serif" w:hAnsi="Times New Roman;serif"/>
                <w:b w:val="false"/>
                <w:color w:val="000000"/>
                <w:sz w:val="20"/>
              </w:rPr>
              <w:t>Outstanding as of December 31, 2025</w:t>
            </w:r>
          </w:p>
        </w:tc>
        <w:tc>
          <w:tcPr>
            <w:tcW w:w="1735" w:type="dxa"/>
            <w:gridSpan w:val="3"/>
            <w:tcBorders/>
            <w:shd w:fill="CCEEFF" w:val="clear"/>
            <w:tcMar>
              <w:top w:w="0" w:type="dxa"/>
              <w:left w:w="0" w:type="dxa"/>
              <w:bottom w:w="0" w:type="dxa"/>
              <w:right w:w="0" w:type="dxa"/>
            </w:tcMar>
            <w:vAlign w:val="center"/>
          </w:tcPr>
          <w:p>
            <w:pPr>
              <w:pStyle w:val="TableContents"/>
              <w:bidi w:val="0"/>
              <w:spacing w:lineRule="auto" w:line="252" w:before="0" w:after="283"/>
              <w:jc w:val="right"/>
              <w:rPr>
                <w:rFonts w:ascii="Times New Roman;serif" w:hAnsi="Times New Roman;serif"/>
                <w:b w:val="false"/>
                <w:color w:val="000000"/>
                <w:sz w:val="20"/>
              </w:rPr>
            </w:pPr>
            <w:r>
              <w:rPr>
                <w:rFonts w:ascii="Times New Roman;serif" w:hAnsi="Times New Roman;serif"/>
                <w:b w:val="false"/>
                <w:color w:val="000000"/>
                <w:sz w:val="20"/>
              </w:rPr>
              <w:t>12,511,072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 w:type="dxa"/>
            <w:tcBorders/>
            <w:shd w:fill="CCEEFF" w:val="clear"/>
            <w:tcMar>
              <w:top w:w="0" w:type="dxa"/>
              <w:left w:w="0" w:type="dxa"/>
              <w:bottom w:w="0" w:type="dxa"/>
              <w:right w:w="0" w:type="dxa"/>
            </w:tcMar>
            <w:vAlign w:val="center"/>
          </w:tcPr>
          <w:p>
            <w:pPr>
              <w:pStyle w:val="TableContents"/>
              <w:bidi w:val="0"/>
              <w:spacing w:lineRule="auto" w:line="252"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48" w:type="dxa"/>
            <w:tcBorders/>
            <w:shd w:fill="CCEEFF" w:val="clear"/>
            <w:tcMar>
              <w:top w:w="0" w:type="dxa"/>
              <w:left w:w="0" w:type="dxa"/>
              <w:bottom w:w="0" w:type="dxa"/>
              <w:right w:w="0" w:type="dxa"/>
            </w:tcMar>
            <w:vAlign w:val="center"/>
          </w:tcPr>
          <w:p>
            <w:pPr>
              <w:pStyle w:val="TableContents"/>
              <w:bidi w:val="0"/>
              <w:spacing w:lineRule="auto" w:line="252" w:before="0" w:after="283"/>
              <w:jc w:val="right"/>
              <w:rPr>
                <w:rFonts w:ascii="Times New Roman;serif" w:hAnsi="Times New Roman;serif"/>
                <w:b w:val="false"/>
                <w:color w:val="000000"/>
                <w:sz w:val="20"/>
              </w:rPr>
            </w:pPr>
            <w:r>
              <w:rPr>
                <w:rFonts w:ascii="Times New Roman;serif" w:hAnsi="Times New Roman;serif"/>
                <w:b w:val="false"/>
                <w:color w:val="000000"/>
                <w:sz w:val="20"/>
              </w:rPr>
              <w:t>5.49 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3" w:type="dxa"/>
            <w:gridSpan w:val="3"/>
            <w:tcBorders/>
            <w:shd w:fill="CCEEFF" w:val="clear"/>
            <w:tcMar>
              <w:top w:w="0" w:type="dxa"/>
              <w:left w:w="0" w:type="dxa"/>
              <w:bottom w:w="0" w:type="dxa"/>
              <w:right w:w="0" w:type="dxa"/>
            </w:tcMar>
            <w:vAlign w:val="center"/>
          </w:tcPr>
          <w:p>
            <w:pPr>
              <w:pStyle w:val="TableContents"/>
              <w:bidi w:val="0"/>
              <w:spacing w:lineRule="auto" w:line="252" w:before="0" w:after="283"/>
              <w:jc w:val="right"/>
              <w:rPr>
                <w:rFonts w:ascii="Times New Roman;serif" w:hAnsi="Times New Roman;serif"/>
                <w:b w:val="false"/>
                <w:color w:val="000000"/>
                <w:sz w:val="20"/>
              </w:rPr>
            </w:pPr>
            <w:r>
              <w:rPr>
                <w:rFonts w:ascii="Times New Roman;serif" w:hAnsi="Times New Roman;serif"/>
                <w:b w:val="false"/>
                <w:color w:val="000000"/>
                <w:sz w:val="20"/>
              </w:rPr>
              <w:t>7.6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7" w:type="dxa"/>
            <w:tcBorders/>
            <w:shd w:fill="CCEEFF" w:val="clear"/>
            <w:tcMar>
              <w:top w:w="0" w:type="dxa"/>
              <w:left w:w="0" w:type="dxa"/>
              <w:bottom w:w="0" w:type="dxa"/>
              <w:right w:w="0" w:type="dxa"/>
            </w:tcMar>
            <w:vAlign w:val="center"/>
          </w:tcPr>
          <w:p>
            <w:pPr>
              <w:pStyle w:val="TableContents"/>
              <w:bidi w:val="0"/>
              <w:spacing w:lineRule="auto" w:line="252"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77" w:type="dxa"/>
            <w:tcBorders/>
            <w:shd w:fill="CCEEFF" w:val="clear"/>
            <w:tcMar>
              <w:top w:w="0" w:type="dxa"/>
              <w:left w:w="0" w:type="dxa"/>
              <w:bottom w:w="0" w:type="dxa"/>
              <w:right w:w="0" w:type="dxa"/>
            </w:tcMar>
            <w:vAlign w:val="center"/>
          </w:tcPr>
          <w:p>
            <w:pPr>
              <w:pStyle w:val="TableContents"/>
              <w:bidi w:val="0"/>
              <w:spacing w:lineRule="auto" w:line="252" w:before="0" w:after="283"/>
              <w:jc w:val="right"/>
              <w:rPr>
                <w:rFonts w:ascii="Times New Roman;serif" w:hAnsi="Times New Roman;serif"/>
                <w:b w:val="false"/>
                <w:color w:val="000000"/>
                <w:sz w:val="20"/>
              </w:rPr>
            </w:pPr>
            <w:r>
              <w:rPr>
                <w:rFonts w:ascii="Times New Roman;serif" w:hAnsi="Times New Roman;serif"/>
                <w:b w:val="false"/>
                <w:color w:val="000000"/>
                <w:sz w:val="20"/>
              </w:rPr>
              <w:t>466 </w:t>
            </w:r>
          </w:p>
        </w:tc>
        <w:tc>
          <w:tcPr>
            <w:tcW w:w="3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62" w:type="dxa"/>
            <w:gridSpan w:val="3"/>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serif" w:hAnsi="Times New Roman;serif"/>
                <w:b w:val="false"/>
                <w:color w:val="000000"/>
                <w:sz w:val="20"/>
              </w:rPr>
            </w:pPr>
            <w:r>
              <w:rPr>
                <w:rFonts w:ascii="Times New Roman;serif" w:hAnsi="Times New Roman;serif"/>
                <w:b w:val="false"/>
                <w:color w:val="000000"/>
                <w:sz w:val="20"/>
              </w:rPr>
              <w:t>Options granted</w:t>
            </w:r>
          </w:p>
        </w:tc>
        <w:tc>
          <w:tcPr>
            <w:tcW w:w="1735"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52" w:before="0" w:after="283"/>
              <w:jc w:val="right"/>
              <w:rPr>
                <w:rFonts w:ascii="Times New Roman;serif" w:hAnsi="Times New Roman;serif"/>
                <w:b w:val="false"/>
                <w:color w:val="000000"/>
                <w:sz w:val="20"/>
              </w:rPr>
            </w:pPr>
            <w:r>
              <w:rPr>
                <w:rFonts w:ascii="Times New Roman;serif" w:hAnsi="Times New Roman;serif"/>
                <w:b w:val="false"/>
                <w:color w:val="000000"/>
                <w:sz w:val="20"/>
              </w:rPr>
              <w:t>3,472,927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52" w:before="0" w:after="283"/>
              <w:jc w:val="right"/>
              <w:rPr>
                <w:rFonts w:ascii="Times New Roman;serif" w:hAnsi="Times New Roman;serif"/>
                <w:b w:val="false"/>
                <w:color w:val="000000"/>
                <w:sz w:val="20"/>
              </w:rPr>
            </w:pPr>
            <w:r>
              <w:rPr>
                <w:rFonts w:ascii="Times New Roman;serif" w:hAnsi="Times New Roman;serif"/>
                <w:b w:val="false"/>
                <w:color w:val="000000"/>
                <w:sz w:val="20"/>
              </w:rPr>
              <w:t>1.80 </w:t>
            </w:r>
          </w:p>
        </w:tc>
        <w:tc>
          <w:tcPr>
            <w:tcW w:w="13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3"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52" w:before="0" w:after="283"/>
              <w:jc w:val="right"/>
              <w:rPr>
                <w:color w:val="000000"/>
              </w:rPr>
            </w:pPr>
            <w:r>
              <w:rPr>
                <w:color w:val="000000"/>
              </w:rPr>
              <w:t> </w:t>
            </w:r>
          </w:p>
        </w:tc>
      </w:tr>
      <w:tr>
        <w:trPr/>
        <w:tc>
          <w:tcPr>
            <w:tcW w:w="3362" w:type="dxa"/>
            <w:gridSpan w:val="3"/>
            <w:tcBorders/>
            <w:shd w:fill="CCEEFF" w:val="clear"/>
            <w:tcMar>
              <w:top w:w="0" w:type="dxa"/>
              <w:left w:w="0" w:type="dxa"/>
              <w:bottom w:w="0" w:type="dxa"/>
              <w:right w:w="0" w:type="dxa"/>
            </w:tcMar>
            <w:vAlign w:val="center"/>
          </w:tcPr>
          <w:p>
            <w:pPr>
              <w:pStyle w:val="TableContents"/>
              <w:bidi w:val="0"/>
              <w:spacing w:lineRule="auto" w:line="252" w:before="0" w:after="283"/>
              <w:jc w:val="left"/>
              <w:rPr>
                <w:rFonts w:ascii="Times New Roman;serif" w:hAnsi="Times New Roman;serif"/>
                <w:b w:val="false"/>
                <w:color w:val="000000"/>
                <w:sz w:val="20"/>
              </w:rPr>
            </w:pPr>
            <w:r>
              <w:rPr>
                <w:rFonts w:ascii="Times New Roman;serif" w:hAnsi="Times New Roman;serif"/>
                <w:b w:val="false"/>
                <w:color w:val="000000"/>
                <w:sz w:val="20"/>
              </w:rPr>
              <w:t>Options exercised</w:t>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52" w:before="0" w:after="283"/>
              <w:jc w:val="right"/>
              <w:rPr>
                <w:rFonts w:ascii="Times New Roman;serif" w:hAnsi="Times New Roman;serif"/>
                <w:b w:val="false"/>
                <w:color w:val="000000"/>
                <w:sz w:val="20"/>
              </w:rPr>
            </w:pPr>
            <w:r>
              <w:rPr>
                <w:rFonts w:ascii="Times New Roman;serif" w:hAnsi="Times New Roman;serif"/>
                <w:b w:val="false"/>
                <w:color w:val="000000"/>
                <w:sz w:val="20"/>
              </w:rPr>
              <w:t>(6,200)</w:t>
            </w:r>
          </w:p>
        </w:tc>
        <w:tc>
          <w:tcPr>
            <w:tcW w:w="5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5" w:type="dxa"/>
            <w:gridSpan w:val="2"/>
            <w:tcBorders/>
            <w:shd w:fill="CCEEFF" w:val="clear"/>
            <w:tcMar>
              <w:top w:w="0" w:type="dxa"/>
              <w:left w:w="0" w:type="dxa"/>
              <w:bottom w:w="0" w:type="dxa"/>
              <w:right w:w="0" w:type="dxa"/>
            </w:tcMar>
            <w:vAlign w:val="center"/>
          </w:tcPr>
          <w:p>
            <w:pPr>
              <w:pStyle w:val="TableContents"/>
              <w:bidi w:val="0"/>
              <w:spacing w:lineRule="auto" w:line="252" w:before="0" w:after="283"/>
              <w:jc w:val="right"/>
              <w:rPr>
                <w:rFonts w:ascii="Times New Roman;serif" w:hAnsi="Times New Roman;serif"/>
                <w:b w:val="false"/>
                <w:color w:val="000000"/>
                <w:sz w:val="20"/>
              </w:rPr>
            </w:pPr>
            <w:r>
              <w:rPr>
                <w:rFonts w:ascii="Times New Roman;serif" w:hAnsi="Times New Roman;serif"/>
                <w:b w:val="false"/>
                <w:color w:val="000000"/>
                <w:sz w:val="20"/>
              </w:rPr>
              <w:t>1.41 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1" w:type="dxa"/>
            <w:gridSpan w:val="3"/>
            <w:tcBorders/>
            <w:shd w:fill="CCEEFF" w:val="clear"/>
            <w:tcMar>
              <w:top w:w="0" w:type="dxa"/>
              <w:left w:w="0" w:type="dxa"/>
              <w:bottom w:w="0" w:type="dxa"/>
              <w:right w:w="0" w:type="dxa"/>
            </w:tcMar>
            <w:vAlign w:val="center"/>
          </w:tcPr>
          <w:p>
            <w:pPr>
              <w:pStyle w:val="TableContents"/>
              <w:bidi w:val="0"/>
              <w:spacing w:lineRule="auto" w:line="252" w:before="0" w:after="283"/>
              <w:jc w:val="right"/>
              <w:rPr>
                <w:color w:val="000000"/>
              </w:rPr>
            </w:pPr>
            <w:r>
              <w:rPr>
                <w:color w:val="000000"/>
              </w:rPr>
              <w:t> </w:t>
            </w:r>
          </w:p>
        </w:tc>
      </w:tr>
      <w:tr>
        <w:trPr/>
        <w:tc>
          <w:tcPr>
            <w:tcW w:w="3362" w:type="dxa"/>
            <w:gridSpan w:val="3"/>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serif" w:hAnsi="Times New Roman;serif"/>
                <w:b w:val="false"/>
                <w:color w:val="000000"/>
                <w:sz w:val="20"/>
              </w:rPr>
            </w:pPr>
            <w:r>
              <w:rPr>
                <w:rFonts w:ascii="Times New Roman;serif" w:hAnsi="Times New Roman;serif"/>
                <w:b w:val="false"/>
                <w:color w:val="000000"/>
                <w:sz w:val="20"/>
              </w:rPr>
              <w:t>Options cancelled or forfeited</w:t>
            </w:r>
          </w:p>
        </w:tc>
        <w:tc>
          <w:tcPr>
            <w:tcW w:w="1735" w:type="dxa"/>
            <w:gridSpan w:val="3"/>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serif" w:hAnsi="Times New Roman;serif"/>
                <w:b w:val="false"/>
                <w:color w:val="000000"/>
                <w:sz w:val="20"/>
              </w:rPr>
            </w:pPr>
            <w:r>
              <w:rPr>
                <w:rFonts w:ascii="Times New Roman;serif" w:hAnsi="Times New Roman;serif"/>
                <w:b w:val="false"/>
                <w:color w:val="000000"/>
                <w:sz w:val="20"/>
              </w:rPr>
              <w:t>(82,037)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5" w:type="dxa"/>
            <w:gridSpan w:val="2"/>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serif" w:hAnsi="Times New Roman;serif"/>
                <w:b w:val="false"/>
                <w:color w:val="000000"/>
                <w:sz w:val="20"/>
              </w:rPr>
            </w:pPr>
            <w:r>
              <w:rPr>
                <w:rFonts w:ascii="Times New Roman;serif" w:hAnsi="Times New Roman;serif"/>
                <w:b w:val="false"/>
                <w:color w:val="000000"/>
                <w:sz w:val="20"/>
              </w:rPr>
              <w:t>5.39 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1" w:type="dxa"/>
            <w:gridSpan w:val="3"/>
            <w:tcBorders/>
            <w:shd w:fill="FFFFFF" w:val="clear"/>
            <w:tcMar>
              <w:top w:w="0" w:type="dxa"/>
              <w:left w:w="0" w:type="dxa"/>
              <w:bottom w:w="0" w:type="dxa"/>
              <w:right w:w="0" w:type="dxa"/>
            </w:tcMar>
            <w:vAlign w:val="center"/>
          </w:tcPr>
          <w:p>
            <w:pPr>
              <w:pStyle w:val="TableContents"/>
              <w:bidi w:val="0"/>
              <w:spacing w:lineRule="auto" w:line="252" w:before="0" w:after="283"/>
              <w:jc w:val="right"/>
              <w:rPr>
                <w:color w:val="000000"/>
              </w:rPr>
            </w:pPr>
            <w:r>
              <w:rPr>
                <w:color w:val="000000"/>
              </w:rPr>
              <w:t> </w:t>
            </w:r>
          </w:p>
        </w:tc>
      </w:tr>
      <w:tr>
        <w:trPr/>
        <w:tc>
          <w:tcPr>
            <w:tcW w:w="3362" w:type="dxa"/>
            <w:gridSpan w:val="3"/>
            <w:tcBorders/>
            <w:shd w:fill="CCEEFF" w:val="clear"/>
            <w:tcMar>
              <w:top w:w="0" w:type="dxa"/>
              <w:left w:w="0" w:type="dxa"/>
              <w:bottom w:w="0" w:type="dxa"/>
              <w:right w:w="0" w:type="dxa"/>
            </w:tcMar>
            <w:vAlign w:val="center"/>
          </w:tcPr>
          <w:p>
            <w:pPr>
              <w:pStyle w:val="TableContents"/>
              <w:bidi w:val="0"/>
              <w:spacing w:lineRule="auto" w:line="252" w:before="0" w:after="283"/>
              <w:jc w:val="left"/>
              <w:rPr>
                <w:rFonts w:ascii="Times New Roman;serif" w:hAnsi="Times New Roman;serif"/>
                <w:b w:val="false"/>
                <w:color w:val="000000"/>
                <w:sz w:val="20"/>
              </w:rPr>
            </w:pPr>
            <w:r>
              <w:rPr>
                <w:rFonts w:ascii="Times New Roman;serif" w:hAnsi="Times New Roman;serif"/>
                <w:b w:val="false"/>
                <w:color w:val="000000"/>
                <w:sz w:val="20"/>
              </w:rPr>
              <w:t>Outstanding as of March 31, 2026</w:t>
            </w:r>
          </w:p>
        </w:tc>
        <w:tc>
          <w:tcPr>
            <w:tcW w:w="173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52" w:before="0" w:after="283"/>
              <w:jc w:val="right"/>
              <w:rPr>
                <w:rFonts w:ascii="Times New Roman;serif" w:hAnsi="Times New Roman;serif"/>
                <w:b w:val="false"/>
                <w:color w:val="000000"/>
                <w:sz w:val="20"/>
              </w:rPr>
            </w:pPr>
            <w:r>
              <w:rPr>
                <w:rFonts w:ascii="Times New Roman;serif" w:hAnsi="Times New Roman;serif"/>
                <w:b w:val="false"/>
                <w:color w:val="000000"/>
                <w:sz w:val="20"/>
              </w:rPr>
              <w:t>15,895,762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52"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4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52" w:before="0" w:after="283"/>
              <w:jc w:val="right"/>
              <w:rPr>
                <w:rFonts w:ascii="Times New Roman;serif" w:hAnsi="Times New Roman;serif"/>
                <w:b w:val="false"/>
                <w:color w:val="000000"/>
                <w:sz w:val="20"/>
              </w:rPr>
            </w:pPr>
            <w:r>
              <w:rPr>
                <w:rFonts w:ascii="Times New Roman;serif" w:hAnsi="Times New Roman;serif"/>
                <w:b w:val="false"/>
                <w:color w:val="000000"/>
                <w:sz w:val="20"/>
              </w:rPr>
              <w:t>4.68 </w:t>
            </w:r>
          </w:p>
        </w:tc>
        <w:tc>
          <w:tcPr>
            <w:tcW w:w="13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3"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52" w:before="0" w:after="283"/>
              <w:jc w:val="right"/>
              <w:rPr>
                <w:rFonts w:ascii="Times New Roman;serif" w:hAnsi="Times New Roman;serif"/>
                <w:b w:val="false"/>
                <w:color w:val="000000"/>
                <w:sz w:val="20"/>
              </w:rPr>
            </w:pPr>
            <w:r>
              <w:rPr>
                <w:rFonts w:ascii="Times New Roman;serif" w:hAnsi="Times New Roman;serif"/>
                <w:b w:val="false"/>
                <w:color w:val="000000"/>
                <w:sz w:val="20"/>
              </w:rPr>
              <w:t>7.9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52"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7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52" w:before="0" w:after="283"/>
              <w:jc w:val="right"/>
              <w:rPr>
                <w:rFonts w:ascii="Times New Roman;serif" w:hAnsi="Times New Roman;serif"/>
                <w:b w:val="false"/>
                <w:color w:val="000000"/>
                <w:sz w:val="20"/>
              </w:rPr>
            </w:pPr>
            <w:r>
              <w:rPr>
                <w:rFonts w:ascii="Times New Roman;serif" w:hAnsi="Times New Roman;serif"/>
                <w:b w:val="false"/>
                <w:color w:val="000000"/>
                <w:sz w:val="20"/>
              </w:rPr>
              <w:t>1,703 </w:t>
            </w:r>
          </w:p>
        </w:tc>
        <w:tc>
          <w:tcPr>
            <w:tcW w:w="32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62" w:type="dxa"/>
            <w:gridSpan w:val="3"/>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serif" w:hAnsi="Times New Roman;serif"/>
                <w:b w:val="false"/>
                <w:color w:val="000000"/>
                <w:sz w:val="20"/>
              </w:rPr>
            </w:pPr>
            <w:r>
              <w:rPr>
                <w:rFonts w:ascii="Times New Roman;serif" w:hAnsi="Times New Roman;serif"/>
                <w:b w:val="false"/>
                <w:color w:val="000000"/>
                <w:sz w:val="20"/>
              </w:rPr>
              <w:t>Exercisable as of March 31, 2026</w:t>
            </w:r>
          </w:p>
        </w:tc>
        <w:tc>
          <w:tcPr>
            <w:tcW w:w="1735" w:type="dxa"/>
            <w:gridSpan w:val="3"/>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52" w:before="0" w:after="283"/>
              <w:jc w:val="right"/>
              <w:rPr>
                <w:rFonts w:ascii="Times New Roman;serif" w:hAnsi="Times New Roman;serif"/>
                <w:b w:val="false"/>
                <w:color w:val="000000"/>
                <w:sz w:val="20"/>
              </w:rPr>
            </w:pPr>
            <w:r>
              <w:rPr>
                <w:rFonts w:ascii="Times New Roman;serif" w:hAnsi="Times New Roman;serif"/>
                <w:b w:val="false"/>
                <w:color w:val="000000"/>
                <w:sz w:val="20"/>
              </w:rPr>
              <w:t>7,606,050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52"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48"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52" w:before="0" w:after="283"/>
              <w:jc w:val="right"/>
              <w:rPr>
                <w:rFonts w:ascii="Times New Roman;serif" w:hAnsi="Times New Roman;serif"/>
                <w:b w:val="false"/>
                <w:color w:val="000000"/>
                <w:sz w:val="20"/>
              </w:rPr>
            </w:pPr>
            <w:r>
              <w:rPr>
                <w:rFonts w:ascii="Times New Roman;serif" w:hAnsi="Times New Roman;serif"/>
                <w:b w:val="false"/>
                <w:color w:val="000000"/>
                <w:sz w:val="20"/>
              </w:rPr>
              <w:t>6.98 </w:t>
            </w:r>
          </w:p>
        </w:tc>
        <w:tc>
          <w:tcPr>
            <w:tcW w:w="138"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3" w:type="dxa"/>
            <w:gridSpan w:val="3"/>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52" w:before="0" w:after="283"/>
              <w:jc w:val="right"/>
              <w:rPr>
                <w:rFonts w:ascii="Times New Roman;serif" w:hAnsi="Times New Roman;serif"/>
                <w:b w:val="false"/>
                <w:color w:val="000000"/>
                <w:sz w:val="20"/>
              </w:rPr>
            </w:pPr>
            <w:r>
              <w:rPr>
                <w:rFonts w:ascii="Times New Roman;serif" w:hAnsi="Times New Roman;serif"/>
                <w:b w:val="false"/>
                <w:color w:val="000000"/>
                <w:sz w:val="20"/>
              </w:rPr>
              <w:t>6.6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7"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52"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77"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52" w:before="0" w:after="283"/>
              <w:jc w:val="right"/>
              <w:rPr>
                <w:rFonts w:ascii="Times New Roman;serif" w:hAnsi="Times New Roman;serif"/>
                <w:b w:val="false"/>
                <w:color w:val="000000"/>
                <w:sz w:val="20"/>
              </w:rPr>
            </w:pPr>
            <w:r>
              <w:rPr>
                <w:rFonts w:ascii="Times New Roman;serif" w:hAnsi="Times New Roman;serif"/>
                <w:b w:val="false"/>
                <w:color w:val="000000"/>
                <w:sz w:val="20"/>
              </w:rPr>
              <w:t>475 </w:t>
            </w:r>
          </w:p>
        </w:tc>
        <w:tc>
          <w:tcPr>
            <w:tcW w:w="327"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62" w:type="dxa"/>
            <w:gridSpan w:val="3"/>
            <w:tcBorders/>
            <w:shd w:fill="CCEEFF" w:val="clear"/>
            <w:tcMar>
              <w:top w:w="0" w:type="dxa"/>
              <w:left w:w="0" w:type="dxa"/>
              <w:bottom w:w="0" w:type="dxa"/>
              <w:right w:w="0" w:type="dxa"/>
            </w:tcMar>
            <w:vAlign w:val="center"/>
          </w:tcPr>
          <w:p>
            <w:pPr>
              <w:pStyle w:val="TableContents"/>
              <w:bidi w:val="0"/>
              <w:spacing w:lineRule="auto" w:line="252" w:before="0" w:after="283"/>
              <w:jc w:val="left"/>
              <w:rPr>
                <w:rFonts w:ascii="Times New Roman;serif" w:hAnsi="Times New Roman;serif"/>
                <w:b w:val="false"/>
                <w:color w:val="000000"/>
                <w:sz w:val="20"/>
              </w:rPr>
            </w:pPr>
            <w:r>
              <w:rPr>
                <w:rFonts w:ascii="Times New Roman;serif" w:hAnsi="Times New Roman;serif"/>
                <w:b w:val="false"/>
                <w:color w:val="000000"/>
                <w:sz w:val="20"/>
              </w:rPr>
              <w:t>Vested and expected to vest as of March 31, 2026</w:t>
            </w:r>
          </w:p>
        </w:tc>
        <w:tc>
          <w:tcPr>
            <w:tcW w:w="1735" w:type="dxa"/>
            <w:gridSpan w:val="3"/>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52" w:before="0" w:after="283"/>
              <w:jc w:val="right"/>
              <w:rPr>
                <w:rFonts w:ascii="Times New Roman;serif" w:hAnsi="Times New Roman;serif"/>
                <w:b w:val="false"/>
                <w:color w:val="000000"/>
                <w:sz w:val="20"/>
              </w:rPr>
            </w:pPr>
            <w:r>
              <w:rPr>
                <w:rFonts w:ascii="Times New Roman;serif" w:hAnsi="Times New Roman;serif"/>
                <w:b w:val="false"/>
                <w:color w:val="000000"/>
                <w:sz w:val="20"/>
              </w:rPr>
              <w:t>15,895,762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52"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48"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52" w:before="0" w:after="283"/>
              <w:jc w:val="right"/>
              <w:rPr>
                <w:rFonts w:ascii="Times New Roman;serif" w:hAnsi="Times New Roman;serif"/>
                <w:b w:val="false"/>
                <w:color w:val="000000"/>
                <w:sz w:val="20"/>
              </w:rPr>
            </w:pPr>
            <w:r>
              <w:rPr>
                <w:rFonts w:ascii="Times New Roman;serif" w:hAnsi="Times New Roman;serif"/>
                <w:b w:val="false"/>
                <w:color w:val="000000"/>
                <w:sz w:val="20"/>
              </w:rPr>
              <w:t>4.68 </w:t>
            </w:r>
          </w:p>
        </w:tc>
        <w:tc>
          <w:tcPr>
            <w:tcW w:w="138"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3" w:type="dxa"/>
            <w:gridSpan w:val="3"/>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52" w:before="0" w:after="283"/>
              <w:jc w:val="right"/>
              <w:rPr>
                <w:rFonts w:ascii="Times New Roman;serif" w:hAnsi="Times New Roman;serif"/>
                <w:b w:val="false"/>
                <w:color w:val="000000"/>
                <w:sz w:val="20"/>
              </w:rPr>
            </w:pPr>
            <w:r>
              <w:rPr>
                <w:rFonts w:ascii="Times New Roman;serif" w:hAnsi="Times New Roman;serif"/>
                <w:b w:val="false"/>
                <w:color w:val="000000"/>
                <w:sz w:val="20"/>
              </w:rPr>
              <w:t>7.9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7"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52"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77"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52" w:before="0" w:after="283"/>
              <w:jc w:val="right"/>
              <w:rPr>
                <w:rFonts w:ascii="Times New Roman;serif" w:hAnsi="Times New Roman;serif"/>
                <w:b w:val="false"/>
                <w:color w:val="000000"/>
                <w:sz w:val="20"/>
              </w:rPr>
            </w:pPr>
            <w:r>
              <w:rPr>
                <w:rFonts w:ascii="Times New Roman;serif" w:hAnsi="Times New Roman;serif"/>
                <w:b w:val="false"/>
                <w:color w:val="000000"/>
                <w:sz w:val="20"/>
              </w:rPr>
              <w:t>1,703 </w:t>
            </w:r>
          </w:p>
        </w:tc>
        <w:tc>
          <w:tcPr>
            <w:tcW w:w="327"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pPr>
      <w:r>
        <w:rPr>
          <w:rFonts w:ascii="Times New Roman;serif" w:hAnsi="Times New Roman;serif"/>
          <w:b w:val="false"/>
          <w:color w:val="000000"/>
          <w:sz w:val="13"/>
        </w:rPr>
        <w:t>(1)</w:t>
      </w:r>
      <w:r>
        <w:rPr>
          <w:rFonts w:ascii="Times New Roman;serif" w:hAnsi="Times New Roman;serif"/>
          <w:b w:val="false"/>
          <w:color w:val="000000"/>
          <w:sz w:val="20"/>
        </w:rPr>
        <w:t>The aggregate intrinsic value is calculated as the difference between the stock option exercise price and the estimated fair value of the underlying common stock as of the end of each reporting period referenced above.</w:t>
      </w:r>
    </w:p>
    <w:p>
      <w:pPr>
        <w:pStyle w:val="TextBody"/>
        <w:bidi w:val="0"/>
        <w:spacing w:lineRule="auto" w:line="288" w:before="200" w:after="283"/>
        <w:jc w:val="left"/>
        <w:rPr>
          <w:rFonts w:ascii="Times New Roman;serif" w:hAnsi="Times New Roman;serif"/>
          <w:b w:val="false"/>
          <w:i/>
          <w:color w:val="000000"/>
          <w:sz w:val="20"/>
        </w:rPr>
      </w:pPr>
      <w:r>
        <w:rPr>
          <w:rFonts w:ascii="Times New Roman;serif" w:hAnsi="Times New Roman;serif"/>
          <w:b w:val="false"/>
          <w:i/>
          <w:color w:val="000000"/>
          <w:sz w:val="20"/>
        </w:rPr>
        <w:t>Grant Date Fair Value of Stock Options</w:t>
      </w:r>
    </w:p>
    <w:p>
      <w:pPr>
        <w:pStyle w:val="TextBody"/>
        <w:bidi w:val="0"/>
        <w:spacing w:lineRule="auto" w:line="288" w:before="20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During the three months ended March 31, 2026, and March 31, 2025, we granted 3,472,927 and 3,335,888 stock options, respectively, under the 2021 Plan to employees with a weighted average grant date fair value of $1.36 and $1.07, respectively. </w:t>
      </w:r>
    </w:p>
    <w:p>
      <w:pPr>
        <w:pStyle w:val="TextBody"/>
        <w:bidi w:val="0"/>
        <w:spacing w:lineRule="auto" w:line="288" w:before="20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We estimated the fair value of each employee stock option award on the grant date using the Black-Scholes option-pricing model based on the following assumptions:</w:t>
      </w:r>
    </w:p>
    <w:tbl>
      <w:tblPr>
        <w:tblW w:w="6228" w:type="dxa"/>
        <w:jc w:val="left"/>
        <w:tblInd w:w="0" w:type="dxa"/>
        <w:tblLayout w:type="fixed"/>
        <w:tblCellMar>
          <w:top w:w="28" w:type="dxa"/>
          <w:left w:w="28" w:type="dxa"/>
          <w:bottom w:w="28" w:type="dxa"/>
          <w:right w:w="28" w:type="dxa"/>
        </w:tblCellMar>
      </w:tblPr>
      <w:tblGrid>
        <w:gridCol w:w="772"/>
        <w:gridCol w:w="676"/>
        <w:gridCol w:w="681"/>
        <w:gridCol w:w="470"/>
        <w:gridCol w:w="470"/>
        <w:gridCol w:w="470"/>
        <w:gridCol w:w="266"/>
        <w:gridCol w:w="266"/>
        <w:gridCol w:w="266"/>
        <w:gridCol w:w="470"/>
        <w:gridCol w:w="470"/>
        <w:gridCol w:w="470"/>
        <w:gridCol w:w="109"/>
        <w:gridCol w:w="109"/>
        <w:gridCol w:w="109"/>
        <w:gridCol w:w="154"/>
      </w:tblGrid>
      <w:tr>
        <w:trPr/>
        <w:tc>
          <w:tcPr>
            <w:tcW w:w="772"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681" w:type="dxa"/>
            <w:tcBorders/>
            <w:vAlign w:val="center"/>
          </w:tcPr>
          <w:p>
            <w:pPr>
              <w:pStyle w:val="TableContents"/>
              <w:bidi w:val="0"/>
              <w:spacing w:before="0" w:after="283"/>
              <w:jc w:val="left"/>
              <w:rPr>
                <w:sz w:val="4"/>
                <w:szCs w:val="4"/>
              </w:rPr>
            </w:pPr>
            <w:r>
              <w:rPr>
                <w:sz w:val="4"/>
                <w:szCs w:val="4"/>
              </w:rPr>
            </w:r>
          </w:p>
        </w:tc>
        <w:tc>
          <w:tcPr>
            <w:tcW w:w="470" w:type="dxa"/>
            <w:tcBorders/>
            <w:vAlign w:val="center"/>
          </w:tcPr>
          <w:p>
            <w:pPr>
              <w:pStyle w:val="TableContents"/>
              <w:bidi w:val="0"/>
              <w:spacing w:before="0" w:after="283"/>
              <w:jc w:val="left"/>
              <w:rPr>
                <w:sz w:val="4"/>
                <w:szCs w:val="4"/>
              </w:rPr>
            </w:pPr>
            <w:r>
              <w:rPr>
                <w:sz w:val="4"/>
                <w:szCs w:val="4"/>
              </w:rPr>
            </w:r>
          </w:p>
        </w:tc>
        <w:tc>
          <w:tcPr>
            <w:tcW w:w="470" w:type="dxa"/>
            <w:tcBorders/>
            <w:vAlign w:val="center"/>
          </w:tcPr>
          <w:p>
            <w:pPr>
              <w:pStyle w:val="TableContents"/>
              <w:bidi w:val="0"/>
              <w:spacing w:before="0" w:after="283"/>
              <w:jc w:val="left"/>
              <w:rPr>
                <w:sz w:val="4"/>
                <w:szCs w:val="4"/>
              </w:rPr>
            </w:pPr>
            <w:r>
              <w:rPr>
                <w:sz w:val="4"/>
                <w:szCs w:val="4"/>
              </w:rPr>
            </w:r>
          </w:p>
        </w:tc>
        <w:tc>
          <w:tcPr>
            <w:tcW w:w="470"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470" w:type="dxa"/>
            <w:tcBorders/>
            <w:vAlign w:val="center"/>
          </w:tcPr>
          <w:p>
            <w:pPr>
              <w:pStyle w:val="TableContents"/>
              <w:bidi w:val="0"/>
              <w:spacing w:before="0" w:after="283"/>
              <w:jc w:val="left"/>
              <w:rPr>
                <w:sz w:val="4"/>
                <w:szCs w:val="4"/>
              </w:rPr>
            </w:pPr>
            <w:r>
              <w:rPr>
                <w:sz w:val="4"/>
                <w:szCs w:val="4"/>
              </w:rPr>
            </w:r>
          </w:p>
        </w:tc>
        <w:tc>
          <w:tcPr>
            <w:tcW w:w="470" w:type="dxa"/>
            <w:tcBorders/>
            <w:vAlign w:val="center"/>
          </w:tcPr>
          <w:p>
            <w:pPr>
              <w:pStyle w:val="TableContents"/>
              <w:bidi w:val="0"/>
              <w:spacing w:before="0" w:after="283"/>
              <w:jc w:val="left"/>
              <w:rPr>
                <w:sz w:val="4"/>
                <w:szCs w:val="4"/>
              </w:rPr>
            </w:pPr>
            <w:r>
              <w:rPr>
                <w:sz w:val="4"/>
                <w:szCs w:val="4"/>
              </w:rPr>
            </w:r>
          </w:p>
        </w:tc>
        <w:tc>
          <w:tcPr>
            <w:tcW w:w="47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1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8" w:type="dxa"/>
            <w:gridSpan w:val="9"/>
            <w:tcBorders/>
            <w:tcMar>
              <w:top w:w="0" w:type="dxa"/>
              <w:left w:w="0" w:type="dxa"/>
              <w:bottom w:w="0" w:type="dxa"/>
              <w:right w:w="0" w:type="dxa"/>
            </w:tcMar>
            <w:vAlign w:val="center"/>
          </w:tcPr>
          <w:p>
            <w:pPr>
              <w:pStyle w:val="TableContents"/>
              <w:bidi w:val="0"/>
              <w:spacing w:lineRule="auto" w:line="252" w:before="0" w:after="283"/>
              <w:jc w:val="center"/>
              <w:rPr>
                <w:rFonts w:ascii="Times New Roman;serif" w:hAnsi="Times New Roman;serif"/>
                <w:b/>
                <w:color w:val="000000"/>
                <w:sz w:val="16"/>
              </w:rPr>
            </w:pPr>
            <w:r>
              <w:rPr>
                <w:rFonts w:ascii="Times New Roman;serif" w:hAnsi="Times New Roman;serif"/>
                <w:b/>
                <w:color w:val="000000"/>
                <w:sz w:val="16"/>
              </w:rPr>
              <w:t>Three Months Ended March 31,</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21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52"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79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52"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129" w:type="dxa"/>
            <w:gridSpan w:val="3"/>
            <w:tcBorders/>
            <w:shd w:fill="CCEEFF" w:val="clear"/>
            <w:tcMar>
              <w:top w:w="0" w:type="dxa"/>
              <w:left w:w="0" w:type="dxa"/>
              <w:bottom w:w="0" w:type="dxa"/>
              <w:right w:w="0" w:type="dxa"/>
            </w:tcMar>
            <w:vAlign w:val="center"/>
          </w:tcPr>
          <w:p>
            <w:pPr>
              <w:pStyle w:val="TableContents"/>
              <w:bidi w:val="0"/>
              <w:spacing w:lineRule="auto" w:line="252" w:before="0" w:after="283"/>
              <w:jc w:val="left"/>
              <w:rPr>
                <w:rFonts w:ascii="Times New Roman;serif" w:hAnsi="Times New Roman;serif"/>
                <w:b w:val="false"/>
                <w:color w:val="000000"/>
                <w:sz w:val="20"/>
              </w:rPr>
            </w:pPr>
            <w:r>
              <w:rPr>
                <w:rFonts w:ascii="Times New Roman;serif" w:hAnsi="Times New Roman;serif"/>
                <w:b w:val="false"/>
                <w:color w:val="000000"/>
                <w:sz w:val="20"/>
              </w:rPr>
              <w:t>Volatility</w:t>
            </w:r>
          </w:p>
        </w:tc>
        <w:tc>
          <w:tcPr>
            <w:tcW w:w="141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52" w:before="0" w:after="0"/>
              <w:jc w:val="center"/>
              <w:rPr>
                <w:rFonts w:ascii="Times New Roman;serif" w:hAnsi="Times New Roman;serif"/>
                <w:b w:val="false"/>
                <w:color w:val="000000"/>
                <w:sz w:val="20"/>
              </w:rPr>
            </w:pPr>
            <w:r>
              <w:rPr>
                <w:rFonts w:ascii="Times New Roman;serif" w:hAnsi="Times New Roman;serif"/>
                <w:b w:val="false"/>
                <w:color w:val="000000"/>
                <w:sz w:val="20"/>
              </w:rPr>
              <w:t>89.9% to 90.6%</w:t>
            </w:r>
          </w:p>
        </w:tc>
        <w:tc>
          <w:tcPr>
            <w:tcW w:w="79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52" w:before="0" w:after="0"/>
              <w:jc w:val="center"/>
              <w:rPr>
                <w:rFonts w:ascii="Times New Roman;serif" w:hAnsi="Times New Roman;serif"/>
                <w:b w:val="false"/>
                <w:color w:val="000000"/>
                <w:sz w:val="20"/>
              </w:rPr>
            </w:pPr>
            <w:r>
              <w:rPr>
                <w:rFonts w:ascii="Times New Roman;serif" w:hAnsi="Times New Roman;serif"/>
                <w:b w:val="false"/>
                <w:color w:val="000000"/>
                <w:sz w:val="20"/>
              </w:rPr>
              <w:t>86.1% to 89.7%</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129" w:type="dxa"/>
            <w:gridSpan w:val="3"/>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serif" w:hAnsi="Times New Roman;serif"/>
                <w:b w:val="false"/>
                <w:color w:val="000000"/>
                <w:sz w:val="20"/>
              </w:rPr>
            </w:pPr>
            <w:r>
              <w:rPr>
                <w:rFonts w:ascii="Times New Roman;serif" w:hAnsi="Times New Roman;serif"/>
                <w:b w:val="false"/>
                <w:color w:val="000000"/>
                <w:sz w:val="20"/>
              </w:rPr>
              <w:t>Expected term (in years)</w:t>
            </w:r>
          </w:p>
        </w:tc>
        <w:tc>
          <w:tcPr>
            <w:tcW w:w="1410" w:type="dxa"/>
            <w:gridSpan w:val="3"/>
            <w:tcBorders/>
            <w:shd w:fill="FFFFFF" w:val="clear"/>
            <w:tcMar>
              <w:top w:w="0" w:type="dxa"/>
              <w:left w:w="0" w:type="dxa"/>
              <w:bottom w:w="0" w:type="dxa"/>
              <w:right w:w="0" w:type="dxa"/>
            </w:tcMar>
            <w:vAlign w:val="center"/>
          </w:tcPr>
          <w:p>
            <w:pPr>
              <w:pStyle w:val="TableContents"/>
              <w:bidi w:val="0"/>
              <w:spacing w:lineRule="auto" w:line="252" w:before="0" w:after="0"/>
              <w:jc w:val="center"/>
              <w:rPr>
                <w:rFonts w:ascii="Times New Roman;serif" w:hAnsi="Times New Roman;serif"/>
                <w:b w:val="false"/>
                <w:color w:val="000000"/>
                <w:sz w:val="20"/>
              </w:rPr>
            </w:pPr>
            <w:r>
              <w:rPr>
                <w:rFonts w:ascii="Times New Roman;serif" w:hAnsi="Times New Roman;serif"/>
                <w:b w:val="false"/>
                <w:color w:val="000000"/>
                <w:sz w:val="20"/>
              </w:rPr>
              <w:t>5.0 to 6.0</w:t>
            </w:r>
          </w:p>
        </w:tc>
        <w:tc>
          <w:tcPr>
            <w:tcW w:w="79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0" w:type="dxa"/>
            <w:gridSpan w:val="3"/>
            <w:tcBorders/>
            <w:shd w:fill="FFFFFF" w:val="clear"/>
            <w:tcMar>
              <w:top w:w="0" w:type="dxa"/>
              <w:left w:w="0" w:type="dxa"/>
              <w:bottom w:w="0" w:type="dxa"/>
              <w:right w:w="0" w:type="dxa"/>
            </w:tcMar>
            <w:vAlign w:val="center"/>
          </w:tcPr>
          <w:p>
            <w:pPr>
              <w:pStyle w:val="TableContents"/>
              <w:bidi w:val="0"/>
              <w:spacing w:lineRule="auto" w:line="252" w:before="0" w:after="0"/>
              <w:jc w:val="center"/>
              <w:rPr>
                <w:rFonts w:ascii="Times New Roman;serif" w:hAnsi="Times New Roman;serif"/>
                <w:b w:val="false"/>
                <w:color w:val="000000"/>
                <w:sz w:val="20"/>
              </w:rPr>
            </w:pPr>
            <w:r>
              <w:rPr>
                <w:rFonts w:ascii="Times New Roman;serif" w:hAnsi="Times New Roman;serif"/>
                <w:b w:val="false"/>
                <w:color w:val="000000"/>
                <w:sz w:val="20"/>
              </w:rPr>
              <w:t>5.0 to 6.0</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129" w:type="dxa"/>
            <w:gridSpan w:val="3"/>
            <w:tcBorders/>
            <w:shd w:fill="CCEEFF" w:val="clear"/>
            <w:tcMar>
              <w:top w:w="0" w:type="dxa"/>
              <w:left w:w="0" w:type="dxa"/>
              <w:bottom w:w="0" w:type="dxa"/>
              <w:right w:w="0" w:type="dxa"/>
            </w:tcMar>
            <w:vAlign w:val="center"/>
          </w:tcPr>
          <w:p>
            <w:pPr>
              <w:pStyle w:val="TableContents"/>
              <w:bidi w:val="0"/>
              <w:spacing w:lineRule="auto" w:line="252" w:before="0" w:after="283"/>
              <w:jc w:val="left"/>
              <w:rPr>
                <w:rFonts w:ascii="Times New Roman;serif" w:hAnsi="Times New Roman;serif"/>
                <w:b w:val="false"/>
                <w:color w:val="000000"/>
                <w:sz w:val="20"/>
              </w:rPr>
            </w:pPr>
            <w:r>
              <w:rPr>
                <w:rFonts w:ascii="Times New Roman;serif" w:hAnsi="Times New Roman;serif"/>
                <w:b w:val="false"/>
                <w:color w:val="000000"/>
                <w:sz w:val="20"/>
              </w:rPr>
              <w:t>Risk-free interest rate</w:t>
            </w:r>
          </w:p>
        </w:tc>
        <w:tc>
          <w:tcPr>
            <w:tcW w:w="1410" w:type="dxa"/>
            <w:gridSpan w:val="3"/>
            <w:tcBorders/>
            <w:shd w:fill="CCEEFF" w:val="clear"/>
            <w:tcMar>
              <w:top w:w="0" w:type="dxa"/>
              <w:left w:w="0" w:type="dxa"/>
              <w:bottom w:w="0" w:type="dxa"/>
              <w:right w:w="0" w:type="dxa"/>
            </w:tcMar>
            <w:vAlign w:val="center"/>
          </w:tcPr>
          <w:p>
            <w:pPr>
              <w:pStyle w:val="TableContents"/>
              <w:bidi w:val="0"/>
              <w:spacing w:lineRule="auto" w:line="252" w:before="0" w:after="0"/>
              <w:jc w:val="center"/>
              <w:rPr>
                <w:rFonts w:ascii="Times New Roman;serif" w:hAnsi="Times New Roman;serif"/>
                <w:b w:val="false"/>
                <w:color w:val="000000"/>
                <w:sz w:val="20"/>
              </w:rPr>
            </w:pPr>
            <w:r>
              <w:rPr>
                <w:rFonts w:ascii="Times New Roman;serif" w:hAnsi="Times New Roman;serif"/>
                <w:b w:val="false"/>
                <w:color w:val="000000"/>
                <w:sz w:val="20"/>
              </w:rPr>
              <w:t>3.7% to 3.8%</w:t>
            </w:r>
          </w:p>
        </w:tc>
        <w:tc>
          <w:tcPr>
            <w:tcW w:w="79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0" w:type="dxa"/>
            <w:gridSpan w:val="3"/>
            <w:tcBorders/>
            <w:shd w:fill="CCEEFF" w:val="clear"/>
            <w:tcMar>
              <w:top w:w="0" w:type="dxa"/>
              <w:left w:w="0" w:type="dxa"/>
              <w:bottom w:w="0" w:type="dxa"/>
              <w:right w:w="0" w:type="dxa"/>
            </w:tcMar>
            <w:vAlign w:val="center"/>
          </w:tcPr>
          <w:p>
            <w:pPr>
              <w:pStyle w:val="TableContents"/>
              <w:bidi w:val="0"/>
              <w:spacing w:lineRule="auto" w:line="252" w:before="0" w:after="0"/>
              <w:jc w:val="center"/>
              <w:rPr>
                <w:rFonts w:ascii="Times New Roman;serif" w:hAnsi="Times New Roman;serif"/>
                <w:b w:val="false"/>
                <w:color w:val="000000"/>
                <w:sz w:val="20"/>
              </w:rPr>
            </w:pPr>
            <w:r>
              <w:rPr>
                <w:rFonts w:ascii="Times New Roman;serif" w:hAnsi="Times New Roman;serif"/>
                <w:b w:val="false"/>
                <w:color w:val="000000"/>
                <w:sz w:val="20"/>
              </w:rPr>
              <w:t>4.3% to 4.6%</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129" w:type="dxa"/>
            <w:gridSpan w:val="3"/>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serif" w:hAnsi="Times New Roman;serif"/>
                <w:b w:val="false"/>
                <w:color w:val="000000"/>
                <w:sz w:val="20"/>
              </w:rPr>
            </w:pPr>
            <w:r>
              <w:rPr>
                <w:rFonts w:ascii="Times New Roman;serif" w:hAnsi="Times New Roman;serif"/>
                <w:b w:val="false"/>
                <w:color w:val="000000"/>
                <w:sz w:val="20"/>
              </w:rPr>
              <w:t>Expected dividend yield</w:t>
            </w:r>
          </w:p>
        </w:tc>
        <w:tc>
          <w:tcPr>
            <w:tcW w:w="1410" w:type="dxa"/>
            <w:gridSpan w:val="3"/>
            <w:tcBorders/>
            <w:shd w:fill="FFFFFF" w:val="clear"/>
            <w:tcMar>
              <w:top w:w="0" w:type="dxa"/>
              <w:left w:w="0" w:type="dxa"/>
              <w:bottom w:w="0" w:type="dxa"/>
              <w:right w:w="0" w:type="dxa"/>
            </w:tcMar>
            <w:vAlign w:val="center"/>
          </w:tcPr>
          <w:p>
            <w:pPr>
              <w:pStyle w:val="TableContents"/>
              <w:bidi w:val="0"/>
              <w:spacing w:lineRule="auto" w:line="252" w:before="0" w:after="283"/>
              <w:jc w:val="center"/>
              <w:rPr>
                <w:rFonts w:ascii="Times New Roman;serif" w:hAnsi="Times New Roman;serif"/>
                <w:b w:val="false"/>
                <w:color w:val="000000"/>
                <w:sz w:val="20"/>
              </w:rPr>
            </w:pPr>
            <w:r>
              <w:rPr>
                <w:rFonts w:ascii="Times New Roman;serif" w:hAnsi="Times New Roman;serif"/>
                <w:b w:val="false"/>
                <w:color w:val="000000"/>
                <w:sz w:val="20"/>
              </w:rPr>
              <w:t>0.0%</w:t>
            </w:r>
          </w:p>
        </w:tc>
        <w:tc>
          <w:tcPr>
            <w:tcW w:w="79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0" w:type="dxa"/>
            <w:gridSpan w:val="3"/>
            <w:tcBorders/>
            <w:shd w:fill="FFFFFF" w:val="clear"/>
            <w:tcMar>
              <w:top w:w="0" w:type="dxa"/>
              <w:left w:w="0" w:type="dxa"/>
              <w:bottom w:w="0" w:type="dxa"/>
              <w:right w:w="0" w:type="dxa"/>
            </w:tcMar>
            <w:vAlign w:val="center"/>
          </w:tcPr>
          <w:p>
            <w:pPr>
              <w:pStyle w:val="TableContents"/>
              <w:bidi w:val="0"/>
              <w:spacing w:lineRule="auto" w:line="252" w:before="0" w:after="283"/>
              <w:jc w:val="center"/>
              <w:rPr>
                <w:rFonts w:ascii="Times New Roman;serif" w:hAnsi="Times New Roman;serif"/>
                <w:b w:val="false"/>
                <w:color w:val="000000"/>
                <w:sz w:val="20"/>
              </w:rPr>
            </w:pPr>
            <w:r>
              <w:rPr>
                <w:rFonts w:ascii="Times New Roman;serif" w:hAnsi="Times New Roman;serif"/>
                <w:b w:val="false"/>
                <w:color w:val="000000"/>
                <w:sz w:val="20"/>
              </w:rPr>
              <w:t>0.0%</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0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As of March 31, 2026, there was $13.4 million of unrecognized stock-based compensation expense related to employee stock options that is expected to be recognized over a weighted-average period of 2.8 years. </w:t>
      </w:r>
    </w:p>
    <w:p>
      <w:pPr>
        <w:pStyle w:val="TextBody"/>
        <w:bidi w:val="0"/>
        <w:spacing w:lineRule="auto" w:line="288" w:before="200" w:after="283"/>
        <w:jc w:val="both"/>
        <w:rPr>
          <w:rFonts w:ascii="Times New Roman;serif" w:hAnsi="Times New Roman;serif"/>
          <w:b w:val="false"/>
          <w:i/>
          <w:color w:val="000000"/>
          <w:sz w:val="20"/>
        </w:rPr>
      </w:pPr>
      <w:r>
        <w:rPr>
          <w:rFonts w:ascii="Times New Roman;serif" w:hAnsi="Times New Roman;serif"/>
          <w:b w:val="false"/>
          <w:i/>
          <w:color w:val="000000"/>
          <w:sz w:val="20"/>
        </w:rPr>
        <w:t>Grant Date Fair Value of PBSOs</w:t>
      </w:r>
    </w:p>
    <w:p>
      <w:pPr>
        <w:pStyle w:val="TextBody"/>
        <w:bidi w:val="0"/>
        <w:spacing w:lineRule="auto" w:line="288" w:before="200" w:after="283"/>
        <w:ind w:left="0" w:right="0" w:firstLine="720"/>
        <w:jc w:val="left"/>
        <w:rPr/>
      </w:pPr>
      <w:r>
        <w:rPr>
          <w:rFonts w:ascii="Times New Roman;serif" w:hAnsi="Times New Roman;serif"/>
          <w:b w:val="false"/>
          <w:color w:val="000000"/>
          <w:sz w:val="20"/>
        </w:rPr>
        <w:t>On July 21, 2025, we granted 1,092,165 PBSOs under the 2021 Plan to each of our officers with a weighted average grant date fair value of $1.00. We estimated the fair value of each PBSO on the grant date using the Black-Scholes option-pricing model based on a volatility of 88.7%, expected term of 1.9 years, risk-free interest rate of 3.9%, and expected dividend yield of 0.0%. Vesting of the PBSOs is conditioned on achievement of certain clinical development milestones during a two-year performance period ending June 30, 2027, and contingent on each executive officer’s continued employment on the vesting dates. As of March 31, 2026, there were 1,092,165 PBSOs outstanding with a weighted average grant date fair value of $1.00. As of March 31, 2026, we have concluded that it is not yet deemed probable, as required by ASC Topic 718 Compensation</w:t>
      </w:r>
      <w:r>
        <w:rPr>
          <w:color w:val="000000"/>
          <w:shd w:fill="FFFFFF" w:val="clear"/>
        </w:rPr>
        <w:t xml:space="preserve"> </w:t>
      </w:r>
      <w:r>
        <w:rPr>
          <w:rFonts w:ascii="Times New Roman;serif" w:hAnsi="Times New Roman;serif"/>
          <w:b w:val="false"/>
          <w:color w:val="000000"/>
          <w:sz w:val="20"/>
          <w:shd w:fill="FFFFFF" w:val="clear"/>
        </w:rPr>
        <w:t xml:space="preserve">- </w:t>
      </w:r>
      <w:r>
        <w:rPr>
          <w:rFonts w:ascii="Times New Roman;serif" w:hAnsi="Times New Roman;serif"/>
          <w:b w:val="false"/>
          <w:color w:val="000000"/>
          <w:sz w:val="20"/>
        </w:rPr>
        <w:t>Stock Compensation, that the clinical milestones will be achieved, and as such, no stock-based compensation expense has been recorded for PBSOs. As of March 31, 2026, there was $1.1 million of unrecognized stock-based compensation expense related to PBSOs, which will be recognized if the awards are deemed to be probable of vesting.</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6480175" cy="146685"/>
                <wp:effectExtent l="0" t="0" r="0" b="0"/>
                <wp:wrapNone/>
                <wp:docPr id="15" name="Frame1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13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13</w:t>
                      </w:r>
                    </w:p>
                  </w:txbxContent>
                </v:textbox>
                <w10:wrap type="none"/>
              </v:rect>
            </w:pict>
          </mc:Fallback>
        </mc:AlternateContent>
      </w:r>
    </w:p>
    <w:p>
      <w:pPr>
        <w:pStyle w:val="TextBody"/>
        <w:bidi w:val="0"/>
        <w:spacing w:lineRule="auto" w:line="288" w:before="0" w:after="0"/>
        <w:jc w:val="left"/>
        <w:rPr/>
      </w:pPr>
      <w:hyperlink w:anchor="i7f5619487a1149c59a3dd36fee75a584_7">
        <w:r>
          <w:rPr>
            <w:rStyle w:val="InternetLink"/>
            <w:rFonts w:ascii="Times New Roman;serif" w:hAnsi="Times New Roman;serif"/>
            <w:b w:val="false"/>
            <w:color w:val="0000FF"/>
            <w:sz w:val="20"/>
            <w:u w:val="single"/>
          </w:rPr>
          <w:t>Table of Contents</w:t>
        </w:r>
      </w:hyperlink>
    </w:p>
    <w:p>
      <w:pPr>
        <w:pStyle w:val="TextBody"/>
        <w:bidi w:val="0"/>
        <w:spacing w:lineRule="auto" w:line="288" w:before="200" w:after="283"/>
        <w:jc w:val="left"/>
        <w:rPr>
          <w:rFonts w:ascii="Times New Roman;serif" w:hAnsi="Times New Roman;serif"/>
          <w:b/>
          <w:i/>
          <w:color w:val="000000"/>
          <w:sz w:val="20"/>
        </w:rPr>
      </w:pPr>
      <w:r>
        <w:rPr>
          <w:rFonts w:ascii="Times New Roman;serif" w:hAnsi="Times New Roman;serif"/>
          <w:b/>
          <w:i/>
          <w:color w:val="000000"/>
          <w:sz w:val="20"/>
        </w:rPr>
        <w:t>Restricted Stock Units (“RSUs”)</w:t>
      </w:r>
    </w:p>
    <w:p>
      <w:pPr>
        <w:pStyle w:val="TextBody"/>
        <w:bidi w:val="0"/>
        <w:spacing w:lineRule="auto" w:line="288" w:before="20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During the three months ended March 31, 2026, we granted 1,220,599 RSUs under the 2021 Plan to employees. A summary of the status of and change in unvested RSUs as of March 31, 2026, was as follows:</w:t>
      </w:r>
    </w:p>
    <w:tbl>
      <w:tblPr>
        <w:tblW w:w="10205" w:type="dxa"/>
        <w:jc w:val="left"/>
        <w:tblInd w:w="0" w:type="dxa"/>
        <w:tblLayout w:type="fixed"/>
        <w:tblCellMar>
          <w:top w:w="28" w:type="dxa"/>
          <w:left w:w="28" w:type="dxa"/>
          <w:bottom w:w="28" w:type="dxa"/>
          <w:right w:w="28" w:type="dxa"/>
        </w:tblCellMar>
      </w:tblPr>
      <w:tblGrid>
        <w:gridCol w:w="905"/>
        <w:gridCol w:w="795"/>
        <w:gridCol w:w="800"/>
        <w:gridCol w:w="1187"/>
        <w:gridCol w:w="1187"/>
        <w:gridCol w:w="1190"/>
        <w:gridCol w:w="109"/>
        <w:gridCol w:w="109"/>
        <w:gridCol w:w="109"/>
        <w:gridCol w:w="917"/>
        <w:gridCol w:w="2223"/>
        <w:gridCol w:w="674"/>
      </w:tblGrid>
      <w:tr>
        <w:trPr/>
        <w:tc>
          <w:tcPr>
            <w:tcW w:w="905" w:type="dxa"/>
            <w:tcBorders/>
            <w:vAlign w:val="center"/>
          </w:tcPr>
          <w:p>
            <w:pPr>
              <w:pStyle w:val="TableContents"/>
              <w:bidi w:val="0"/>
              <w:spacing w:before="0" w:after="283"/>
              <w:jc w:val="left"/>
              <w:rPr>
                <w:sz w:val="4"/>
                <w:szCs w:val="4"/>
              </w:rPr>
            </w:pPr>
            <w:r>
              <w:rPr>
                <w:sz w:val="4"/>
                <w:szCs w:val="4"/>
              </w:rPr>
            </w:r>
          </w:p>
        </w:tc>
        <w:tc>
          <w:tcPr>
            <w:tcW w:w="795" w:type="dxa"/>
            <w:tcBorders/>
            <w:vAlign w:val="center"/>
          </w:tcPr>
          <w:p>
            <w:pPr>
              <w:pStyle w:val="TableContents"/>
              <w:bidi w:val="0"/>
              <w:spacing w:before="0" w:after="283"/>
              <w:jc w:val="left"/>
              <w:rPr>
                <w:sz w:val="4"/>
                <w:szCs w:val="4"/>
              </w:rPr>
            </w:pPr>
            <w:r>
              <w:rPr>
                <w:sz w:val="4"/>
                <w:szCs w:val="4"/>
              </w:rPr>
            </w:r>
          </w:p>
        </w:tc>
        <w:tc>
          <w:tcPr>
            <w:tcW w:w="800" w:type="dxa"/>
            <w:tcBorders/>
            <w:vAlign w:val="center"/>
          </w:tcPr>
          <w:p>
            <w:pPr>
              <w:pStyle w:val="TableContents"/>
              <w:bidi w:val="0"/>
              <w:spacing w:before="0" w:after="283"/>
              <w:jc w:val="left"/>
              <w:rPr>
                <w:sz w:val="4"/>
                <w:szCs w:val="4"/>
              </w:rPr>
            </w:pPr>
            <w:r>
              <w:rPr>
                <w:sz w:val="4"/>
                <w:szCs w:val="4"/>
              </w:rPr>
            </w:r>
          </w:p>
        </w:tc>
        <w:tc>
          <w:tcPr>
            <w:tcW w:w="1187" w:type="dxa"/>
            <w:tcBorders/>
            <w:vAlign w:val="center"/>
          </w:tcPr>
          <w:p>
            <w:pPr>
              <w:pStyle w:val="TableContents"/>
              <w:bidi w:val="0"/>
              <w:spacing w:before="0" w:after="283"/>
              <w:jc w:val="left"/>
              <w:rPr>
                <w:sz w:val="4"/>
                <w:szCs w:val="4"/>
              </w:rPr>
            </w:pPr>
            <w:r>
              <w:rPr>
                <w:sz w:val="4"/>
                <w:szCs w:val="4"/>
              </w:rPr>
            </w:r>
          </w:p>
        </w:tc>
        <w:tc>
          <w:tcPr>
            <w:tcW w:w="1187" w:type="dxa"/>
            <w:tcBorders/>
            <w:vAlign w:val="center"/>
          </w:tcPr>
          <w:p>
            <w:pPr>
              <w:pStyle w:val="TableContents"/>
              <w:bidi w:val="0"/>
              <w:spacing w:before="0" w:after="283"/>
              <w:jc w:val="left"/>
              <w:rPr>
                <w:sz w:val="4"/>
                <w:szCs w:val="4"/>
              </w:rPr>
            </w:pPr>
            <w:r>
              <w:rPr>
                <w:sz w:val="4"/>
                <w:szCs w:val="4"/>
              </w:rPr>
            </w:r>
          </w:p>
        </w:tc>
        <w:tc>
          <w:tcPr>
            <w:tcW w:w="119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17" w:type="dxa"/>
            <w:tcBorders/>
            <w:vAlign w:val="center"/>
          </w:tcPr>
          <w:p>
            <w:pPr>
              <w:pStyle w:val="TableContents"/>
              <w:bidi w:val="0"/>
              <w:spacing w:before="0" w:after="283"/>
              <w:jc w:val="left"/>
              <w:rPr>
                <w:sz w:val="4"/>
                <w:szCs w:val="4"/>
              </w:rPr>
            </w:pPr>
            <w:r>
              <w:rPr>
                <w:sz w:val="4"/>
                <w:szCs w:val="4"/>
              </w:rPr>
            </w:r>
          </w:p>
        </w:tc>
        <w:tc>
          <w:tcPr>
            <w:tcW w:w="2223" w:type="dxa"/>
            <w:tcBorders/>
            <w:vAlign w:val="center"/>
          </w:tcPr>
          <w:p>
            <w:pPr>
              <w:pStyle w:val="TableContents"/>
              <w:bidi w:val="0"/>
              <w:spacing w:before="0" w:after="283"/>
              <w:jc w:val="left"/>
              <w:rPr>
                <w:sz w:val="4"/>
                <w:szCs w:val="4"/>
              </w:rPr>
            </w:pPr>
            <w:r>
              <w:rPr>
                <w:sz w:val="4"/>
                <w:szCs w:val="4"/>
              </w:rPr>
            </w:r>
          </w:p>
        </w:tc>
        <w:tc>
          <w:tcPr>
            <w:tcW w:w="674" w:type="dxa"/>
            <w:tcBorders/>
            <w:vAlign w:val="center"/>
          </w:tcPr>
          <w:p>
            <w:pPr>
              <w:pStyle w:val="TableContents"/>
              <w:bidi w:val="0"/>
              <w:spacing w:before="0" w:after="283"/>
              <w:jc w:val="left"/>
              <w:rPr>
                <w:sz w:val="4"/>
                <w:szCs w:val="4"/>
              </w:rPr>
            </w:pPr>
            <w:r>
              <w:rPr>
                <w:sz w:val="4"/>
                <w:szCs w:val="4"/>
              </w:rPr>
            </w:r>
          </w:p>
        </w:tc>
      </w:tr>
      <w:tr>
        <w:trPr/>
        <w:tc>
          <w:tcPr>
            <w:tcW w:w="25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64" w:type="dxa"/>
            <w:gridSpan w:val="3"/>
            <w:tcBorders/>
            <w:tcMar>
              <w:top w:w="0" w:type="dxa"/>
              <w:left w:w="0" w:type="dxa"/>
              <w:bottom w:w="0" w:type="dxa"/>
              <w:right w:w="0" w:type="dxa"/>
            </w:tcMar>
            <w:vAlign w:val="center"/>
          </w:tcPr>
          <w:p>
            <w:pPr>
              <w:pStyle w:val="TableContents"/>
              <w:bidi w:val="0"/>
              <w:spacing w:lineRule="auto" w:line="252" w:before="0" w:after="0"/>
              <w:jc w:val="center"/>
              <w:rPr>
                <w:rFonts w:ascii="Times New Roman;serif" w:hAnsi="Times New Roman;serif"/>
                <w:b/>
                <w:color w:val="000000"/>
                <w:sz w:val="16"/>
              </w:rPr>
            </w:pPr>
            <w:r>
              <w:rPr>
                <w:rFonts w:ascii="Times New Roman;serif" w:hAnsi="Times New Roman;serif"/>
                <w:b/>
                <w:color w:val="000000"/>
                <w:sz w:val="16"/>
              </w:rPr>
              <w:t>Number of Shares Underlying Outstanding RSUs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4" w:type="dxa"/>
            <w:gridSpan w:val="3"/>
            <w:tcBorders/>
            <w:tcMar>
              <w:top w:w="0" w:type="dxa"/>
              <w:left w:w="0" w:type="dxa"/>
              <w:bottom w:w="0" w:type="dxa"/>
              <w:right w:w="0" w:type="dxa"/>
            </w:tcMar>
            <w:vAlign w:val="center"/>
          </w:tcPr>
          <w:p>
            <w:pPr>
              <w:pStyle w:val="TableContents"/>
              <w:bidi w:val="0"/>
              <w:spacing w:lineRule="auto" w:line="252" w:before="0" w:after="0"/>
              <w:jc w:val="center"/>
              <w:rPr>
                <w:rFonts w:ascii="Times New Roman;serif" w:hAnsi="Times New Roman;serif"/>
                <w:b/>
                <w:color w:val="000000"/>
                <w:sz w:val="16"/>
              </w:rPr>
            </w:pPr>
            <w:r>
              <w:rPr>
                <w:rFonts w:ascii="Times New Roman;serif" w:hAnsi="Times New Roman;serif"/>
                <w:b/>
                <w:color w:val="000000"/>
                <w:sz w:val="16"/>
              </w:rPr>
              <w:t>Weighted-Average Grant Date Fair Value per RSU</w:t>
            </w:r>
          </w:p>
        </w:tc>
      </w:tr>
      <w:tr>
        <w:trPr/>
        <w:tc>
          <w:tcPr>
            <w:tcW w:w="2500" w:type="dxa"/>
            <w:gridSpan w:val="3"/>
            <w:tcBorders/>
            <w:shd w:fill="CCEEFF" w:val="clear"/>
            <w:tcMar>
              <w:top w:w="0" w:type="dxa"/>
              <w:left w:w="0" w:type="dxa"/>
              <w:bottom w:w="0" w:type="dxa"/>
              <w:right w:w="0" w:type="dxa"/>
            </w:tcMar>
            <w:vAlign w:val="center"/>
          </w:tcPr>
          <w:p>
            <w:pPr>
              <w:pStyle w:val="TableContents"/>
              <w:bidi w:val="0"/>
              <w:spacing w:lineRule="auto" w:line="252" w:before="0" w:after="283"/>
              <w:jc w:val="left"/>
              <w:rPr>
                <w:rFonts w:ascii="Times New Roman;serif" w:hAnsi="Times New Roman;serif"/>
                <w:b w:val="false"/>
                <w:color w:val="000000"/>
                <w:sz w:val="20"/>
              </w:rPr>
            </w:pPr>
            <w:r>
              <w:rPr>
                <w:rFonts w:ascii="Times New Roman;serif" w:hAnsi="Times New Roman;serif"/>
                <w:b w:val="false"/>
                <w:color w:val="000000"/>
                <w:sz w:val="20"/>
              </w:rPr>
              <w:t>Unvested, December 31, 2025</w:t>
            </w:r>
          </w:p>
        </w:tc>
        <w:tc>
          <w:tcPr>
            <w:tcW w:w="356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52" w:before="0" w:after="283"/>
              <w:jc w:val="right"/>
              <w:rPr>
                <w:rFonts w:ascii="Times New Roman;serif" w:hAnsi="Times New Roman;serif"/>
                <w:b w:val="false"/>
                <w:color w:val="000000"/>
                <w:sz w:val="20"/>
              </w:rPr>
            </w:pPr>
            <w:r>
              <w:rPr>
                <w:rFonts w:ascii="Times New Roman;serif" w:hAnsi="Times New Roman;serif"/>
                <w:b w:val="false"/>
                <w:color w:val="000000"/>
                <w:sz w:val="20"/>
              </w:rPr>
              <w:t>2,173,234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52"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222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52" w:before="0" w:after="283"/>
              <w:jc w:val="right"/>
              <w:rPr>
                <w:rFonts w:ascii="Times New Roman;serif" w:hAnsi="Times New Roman;serif"/>
                <w:b w:val="false"/>
                <w:color w:val="000000"/>
                <w:sz w:val="20"/>
              </w:rPr>
            </w:pPr>
            <w:r>
              <w:rPr>
                <w:rFonts w:ascii="Times New Roman;serif" w:hAnsi="Times New Roman;serif"/>
                <w:b w:val="false"/>
                <w:color w:val="000000"/>
                <w:sz w:val="20"/>
              </w:rPr>
              <w:t>2.74 </w:t>
            </w:r>
          </w:p>
        </w:tc>
        <w:tc>
          <w:tcPr>
            <w:tcW w:w="67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00" w:type="dxa"/>
            <w:gridSpan w:val="3"/>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serif" w:hAnsi="Times New Roman;serif"/>
                <w:b w:val="false"/>
                <w:color w:val="000000"/>
                <w:sz w:val="20"/>
              </w:rPr>
            </w:pPr>
            <w:r>
              <w:rPr>
                <w:rFonts w:ascii="Times New Roman;serif" w:hAnsi="Times New Roman;serif"/>
                <w:b w:val="false"/>
                <w:color w:val="000000"/>
                <w:sz w:val="20"/>
              </w:rPr>
              <w:t>Granted</w:t>
            </w:r>
          </w:p>
        </w:tc>
        <w:tc>
          <w:tcPr>
            <w:tcW w:w="3564" w:type="dxa"/>
            <w:gridSpan w:val="3"/>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serif" w:hAnsi="Times New Roman;serif"/>
                <w:b w:val="false"/>
                <w:color w:val="000000"/>
                <w:sz w:val="20"/>
              </w:rPr>
            </w:pPr>
            <w:r>
              <w:rPr>
                <w:rFonts w:ascii="Times New Roman;serif" w:hAnsi="Times New Roman;serif"/>
                <w:b w:val="false"/>
                <w:color w:val="000000"/>
                <w:sz w:val="20"/>
              </w:rPr>
              <w:t>1,220,599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4" w:type="dxa"/>
            <w:gridSpan w:val="3"/>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serif" w:hAnsi="Times New Roman;serif"/>
                <w:b w:val="false"/>
                <w:color w:val="000000"/>
                <w:sz w:val="20"/>
              </w:rPr>
            </w:pPr>
            <w:r>
              <w:rPr>
                <w:rFonts w:ascii="Times New Roman;serif" w:hAnsi="Times New Roman;serif"/>
                <w:b w:val="false"/>
                <w:color w:val="000000"/>
                <w:sz w:val="20"/>
              </w:rPr>
              <w:t>1.80</w:t>
            </w:r>
          </w:p>
        </w:tc>
      </w:tr>
      <w:tr>
        <w:trPr/>
        <w:tc>
          <w:tcPr>
            <w:tcW w:w="2500" w:type="dxa"/>
            <w:gridSpan w:val="3"/>
            <w:tcBorders/>
            <w:shd w:fill="CCEEFF" w:val="clear"/>
            <w:tcMar>
              <w:top w:w="0" w:type="dxa"/>
              <w:left w:w="0" w:type="dxa"/>
              <w:bottom w:w="0" w:type="dxa"/>
              <w:right w:w="0" w:type="dxa"/>
            </w:tcMar>
            <w:vAlign w:val="center"/>
          </w:tcPr>
          <w:p>
            <w:pPr>
              <w:pStyle w:val="TableContents"/>
              <w:bidi w:val="0"/>
              <w:spacing w:lineRule="auto" w:line="252" w:before="0" w:after="283"/>
              <w:jc w:val="left"/>
              <w:rPr>
                <w:rFonts w:ascii="Times New Roman;serif" w:hAnsi="Times New Roman;serif"/>
                <w:b w:val="false"/>
                <w:color w:val="000000"/>
                <w:sz w:val="20"/>
              </w:rPr>
            </w:pPr>
            <w:r>
              <w:rPr>
                <w:rFonts w:ascii="Times New Roman;serif" w:hAnsi="Times New Roman;serif"/>
                <w:b w:val="false"/>
                <w:color w:val="000000"/>
                <w:sz w:val="20"/>
              </w:rPr>
              <w:t>Vested</w:t>
            </w:r>
          </w:p>
        </w:tc>
        <w:tc>
          <w:tcPr>
            <w:tcW w:w="3564" w:type="dxa"/>
            <w:gridSpan w:val="3"/>
            <w:tcBorders/>
            <w:shd w:fill="CCEEFF" w:val="clear"/>
            <w:tcMar>
              <w:top w:w="0" w:type="dxa"/>
              <w:left w:w="0" w:type="dxa"/>
              <w:bottom w:w="0" w:type="dxa"/>
              <w:right w:w="0" w:type="dxa"/>
            </w:tcMar>
            <w:vAlign w:val="center"/>
          </w:tcPr>
          <w:p>
            <w:pPr>
              <w:pStyle w:val="TableContents"/>
              <w:bidi w:val="0"/>
              <w:spacing w:lineRule="auto" w:line="252" w:before="0" w:after="283"/>
              <w:jc w:val="right"/>
              <w:rPr>
                <w:rFonts w:ascii="Times New Roman;serif" w:hAnsi="Times New Roman;serif"/>
                <w:b w:val="false"/>
                <w:color w:val="000000"/>
                <w:sz w:val="20"/>
              </w:rPr>
            </w:pPr>
            <w:r>
              <w:rPr>
                <w:rFonts w:ascii="Times New Roman;serif" w:hAnsi="Times New Roman;serif"/>
                <w:b w:val="false"/>
                <w:color w:val="000000"/>
                <w:sz w:val="20"/>
              </w:rPr>
              <w:t>(374,165)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4" w:type="dxa"/>
            <w:gridSpan w:val="3"/>
            <w:tcBorders/>
            <w:shd w:fill="CCEEFF" w:val="clear"/>
            <w:tcMar>
              <w:top w:w="0" w:type="dxa"/>
              <w:left w:w="0" w:type="dxa"/>
              <w:bottom w:w="0" w:type="dxa"/>
              <w:right w:w="0" w:type="dxa"/>
            </w:tcMar>
            <w:vAlign w:val="center"/>
          </w:tcPr>
          <w:p>
            <w:pPr>
              <w:pStyle w:val="TableContents"/>
              <w:bidi w:val="0"/>
              <w:spacing w:lineRule="auto" w:line="252" w:before="0" w:after="283"/>
              <w:jc w:val="right"/>
              <w:rPr>
                <w:rFonts w:ascii="Times New Roman;serif" w:hAnsi="Times New Roman;serif"/>
                <w:b w:val="false"/>
                <w:color w:val="000000"/>
                <w:sz w:val="20"/>
              </w:rPr>
            </w:pPr>
            <w:r>
              <w:rPr>
                <w:rFonts w:ascii="Times New Roman;serif" w:hAnsi="Times New Roman;serif"/>
                <w:b w:val="false"/>
                <w:color w:val="000000"/>
                <w:sz w:val="20"/>
              </w:rPr>
              <w:t>3.45</w:t>
            </w:r>
          </w:p>
        </w:tc>
      </w:tr>
      <w:tr>
        <w:trPr/>
        <w:tc>
          <w:tcPr>
            <w:tcW w:w="2500" w:type="dxa"/>
            <w:gridSpan w:val="3"/>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serif" w:hAnsi="Times New Roman;serif"/>
                <w:b w:val="false"/>
                <w:color w:val="000000"/>
                <w:sz w:val="20"/>
              </w:rPr>
            </w:pPr>
            <w:r>
              <w:rPr>
                <w:rFonts w:ascii="Times New Roman;serif" w:hAnsi="Times New Roman;serif"/>
                <w:b w:val="false"/>
                <w:color w:val="000000"/>
                <w:sz w:val="20"/>
              </w:rPr>
              <w:t>Forfeited</w:t>
            </w:r>
          </w:p>
        </w:tc>
        <w:tc>
          <w:tcPr>
            <w:tcW w:w="3564" w:type="dxa"/>
            <w:gridSpan w:val="3"/>
            <w:tcBorders/>
            <w:shd w:fill="FFFFFF" w:val="clear"/>
            <w:tcMar>
              <w:top w:w="0" w:type="dxa"/>
              <w:left w:w="0" w:type="dxa"/>
              <w:bottom w:w="0" w:type="dxa"/>
              <w:right w:w="0" w:type="dxa"/>
            </w:tcMar>
            <w:vAlign w:val="center"/>
          </w:tcPr>
          <w:p>
            <w:pPr>
              <w:pStyle w:val="TableContents"/>
              <w:bidi w:val="0"/>
              <w:spacing w:lineRule="auto" w:line="252"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4" w:type="dxa"/>
            <w:gridSpan w:val="3"/>
            <w:tcBorders/>
            <w:shd w:fill="FFFFFF" w:val="clear"/>
            <w:tcMar>
              <w:top w:w="0" w:type="dxa"/>
              <w:left w:w="0" w:type="dxa"/>
              <w:bottom w:w="0" w:type="dxa"/>
              <w:right w:w="0" w:type="dxa"/>
            </w:tcMar>
            <w:vAlign w:val="center"/>
          </w:tcPr>
          <w:p>
            <w:pPr>
              <w:pStyle w:val="TableContents"/>
              <w:bidi w:val="0"/>
              <w:spacing w:lineRule="auto" w:line="252" w:before="0" w:after="283"/>
              <w:jc w:val="right"/>
              <w:rPr>
                <w:color w:val="000000"/>
              </w:rPr>
            </w:pPr>
            <w:r>
              <w:rPr>
                <w:color w:val="000000"/>
              </w:rPr>
              <w:t>—</w:t>
            </w:r>
          </w:p>
        </w:tc>
      </w:tr>
      <w:tr>
        <w:trPr/>
        <w:tc>
          <w:tcPr>
            <w:tcW w:w="2500" w:type="dxa"/>
            <w:gridSpan w:val="3"/>
            <w:tcBorders/>
            <w:shd w:fill="CCEEFF" w:val="clear"/>
            <w:tcMar>
              <w:top w:w="0" w:type="dxa"/>
              <w:left w:w="0" w:type="dxa"/>
              <w:bottom w:w="0" w:type="dxa"/>
              <w:right w:w="0" w:type="dxa"/>
            </w:tcMar>
            <w:vAlign w:val="center"/>
          </w:tcPr>
          <w:p>
            <w:pPr>
              <w:pStyle w:val="TableContents"/>
              <w:bidi w:val="0"/>
              <w:spacing w:lineRule="auto" w:line="252" w:before="0" w:after="283"/>
              <w:jc w:val="left"/>
              <w:rPr>
                <w:rFonts w:ascii="Times New Roman;serif" w:hAnsi="Times New Roman;serif"/>
                <w:b w:val="false"/>
                <w:color w:val="000000"/>
                <w:sz w:val="20"/>
              </w:rPr>
            </w:pPr>
            <w:r>
              <w:rPr>
                <w:rFonts w:ascii="Times New Roman;serif" w:hAnsi="Times New Roman;serif"/>
                <w:b w:val="false"/>
                <w:color w:val="000000"/>
                <w:sz w:val="20"/>
              </w:rPr>
              <w:t>Unvested, March 31, 2026</w:t>
            </w:r>
          </w:p>
        </w:tc>
        <w:tc>
          <w:tcPr>
            <w:tcW w:w="3564" w:type="dxa"/>
            <w:gridSpan w:val="3"/>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52" w:before="0" w:after="283"/>
              <w:jc w:val="right"/>
              <w:rPr>
                <w:rFonts w:ascii="Times New Roman;serif" w:hAnsi="Times New Roman;serif"/>
                <w:b w:val="false"/>
                <w:color w:val="000000"/>
                <w:sz w:val="20"/>
              </w:rPr>
            </w:pPr>
            <w:r>
              <w:rPr>
                <w:rFonts w:ascii="Times New Roman;serif" w:hAnsi="Times New Roman;serif"/>
                <w:b w:val="false"/>
                <w:color w:val="000000"/>
                <w:sz w:val="20"/>
              </w:rPr>
              <w:t>3,019,668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52"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222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52" w:before="0" w:after="283"/>
              <w:jc w:val="right"/>
              <w:rPr>
                <w:rFonts w:ascii="Times New Roman;serif" w:hAnsi="Times New Roman;serif"/>
                <w:b w:val="false"/>
                <w:color w:val="000000"/>
                <w:sz w:val="20"/>
              </w:rPr>
            </w:pPr>
            <w:r>
              <w:rPr>
                <w:rFonts w:ascii="Times New Roman;serif" w:hAnsi="Times New Roman;serif"/>
                <w:b w:val="false"/>
                <w:color w:val="000000"/>
                <w:sz w:val="20"/>
              </w:rPr>
              <w:t>2.27 </w:t>
            </w:r>
          </w:p>
        </w:tc>
        <w:tc>
          <w:tcPr>
            <w:tcW w:w="67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0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As of March 31, 2026, the total unrecognized stock-based compensation expense related to unvested RSUs was $6.1 million, which is expected to be recognized over the remaining weighted-average vesting period of 2.9 years. </w:t>
      </w:r>
    </w:p>
    <w:p>
      <w:pPr>
        <w:pStyle w:val="TextBody"/>
        <w:bidi w:val="0"/>
        <w:spacing w:lineRule="auto" w:line="288" w:before="200" w:after="283"/>
        <w:jc w:val="both"/>
        <w:rPr>
          <w:rFonts w:ascii="Times New Roman;serif" w:hAnsi="Times New Roman;serif"/>
          <w:b/>
          <w:i/>
          <w:color w:val="000000"/>
          <w:sz w:val="20"/>
        </w:rPr>
      </w:pPr>
      <w:r>
        <w:rPr>
          <w:rFonts w:ascii="Times New Roman;serif" w:hAnsi="Times New Roman;serif"/>
          <w:b/>
          <w:i/>
          <w:color w:val="000000"/>
          <w:sz w:val="20"/>
        </w:rPr>
        <w:t>Employee Stock Purchase Plan (“ESPP”)</w:t>
      </w:r>
    </w:p>
    <w:p>
      <w:pPr>
        <w:pStyle w:val="TextBody"/>
        <w:bidi w:val="0"/>
        <w:spacing w:lineRule="auto" w:line="288" w:before="20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In July 2021, our board of directors adopted, and our stockholders approved, the ESPP, which became effective on July 22, 2021. We issued 1,454,552 shares of common stock under the ESPP as of March 31, 2026. We recorded $0.1 million in accrued liabilities related to contributions withheld as of March 31, 2026.</w:t>
      </w:r>
    </w:p>
    <w:p>
      <w:pPr>
        <w:pStyle w:val="TextBody"/>
        <w:bidi w:val="0"/>
        <w:spacing w:lineRule="auto" w:line="288" w:before="200" w:after="283"/>
        <w:jc w:val="left"/>
        <w:rPr>
          <w:rFonts w:ascii="Times New Roman;serif" w:hAnsi="Times New Roman;serif"/>
          <w:b/>
          <w:i/>
          <w:color w:val="000000"/>
          <w:sz w:val="20"/>
        </w:rPr>
      </w:pPr>
      <w:r>
        <w:rPr>
          <w:rFonts w:ascii="Times New Roman;serif" w:hAnsi="Times New Roman;serif"/>
          <w:b/>
          <w:i/>
          <w:color w:val="000000"/>
          <w:sz w:val="20"/>
        </w:rPr>
        <w:t>Stock-Based Compensation Expense</w:t>
      </w:r>
    </w:p>
    <w:p>
      <w:pPr>
        <w:pStyle w:val="TextBody"/>
        <w:bidi w:val="0"/>
        <w:spacing w:lineRule="auto" w:line="288" w:before="20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We recorded stock-based compensation expense related to employee equity-based awards grants as follows (in thousands):</w:t>
      </w:r>
    </w:p>
    <w:tbl>
      <w:tblPr>
        <w:tblW w:w="5189" w:type="dxa"/>
        <w:jc w:val="left"/>
        <w:tblInd w:w="0" w:type="dxa"/>
        <w:tblLayout w:type="fixed"/>
        <w:tblCellMar>
          <w:top w:w="28" w:type="dxa"/>
          <w:left w:w="28" w:type="dxa"/>
          <w:bottom w:w="28" w:type="dxa"/>
          <w:right w:w="28" w:type="dxa"/>
        </w:tblCellMar>
      </w:tblPr>
      <w:tblGrid>
        <w:gridCol w:w="837"/>
        <w:gridCol w:w="734"/>
        <w:gridCol w:w="738"/>
        <w:gridCol w:w="230"/>
        <w:gridCol w:w="672"/>
        <w:gridCol w:w="119"/>
        <w:gridCol w:w="119"/>
        <w:gridCol w:w="119"/>
        <w:gridCol w:w="119"/>
        <w:gridCol w:w="230"/>
        <w:gridCol w:w="672"/>
        <w:gridCol w:w="119"/>
        <w:gridCol w:w="109"/>
        <w:gridCol w:w="109"/>
        <w:gridCol w:w="109"/>
        <w:gridCol w:w="154"/>
      </w:tblGrid>
      <w:tr>
        <w:trPr/>
        <w:tc>
          <w:tcPr>
            <w:tcW w:w="837" w:type="dxa"/>
            <w:tcBorders/>
            <w:vAlign w:val="center"/>
          </w:tcPr>
          <w:p>
            <w:pPr>
              <w:pStyle w:val="TableContents"/>
              <w:bidi w:val="0"/>
              <w:spacing w:before="0" w:after="283"/>
              <w:jc w:val="left"/>
              <w:rPr>
                <w:sz w:val="4"/>
                <w:szCs w:val="4"/>
              </w:rPr>
            </w:pPr>
            <w:r>
              <w:rPr>
                <w:sz w:val="4"/>
                <w:szCs w:val="4"/>
              </w:rPr>
            </w:r>
          </w:p>
        </w:tc>
        <w:tc>
          <w:tcPr>
            <w:tcW w:w="734" w:type="dxa"/>
            <w:tcBorders/>
            <w:vAlign w:val="center"/>
          </w:tcPr>
          <w:p>
            <w:pPr>
              <w:pStyle w:val="TableContents"/>
              <w:bidi w:val="0"/>
              <w:spacing w:before="0" w:after="283"/>
              <w:jc w:val="left"/>
              <w:rPr>
                <w:sz w:val="4"/>
                <w:szCs w:val="4"/>
              </w:rPr>
            </w:pPr>
            <w:r>
              <w:rPr>
                <w:sz w:val="4"/>
                <w:szCs w:val="4"/>
              </w:rPr>
            </w:r>
          </w:p>
        </w:tc>
        <w:tc>
          <w:tcPr>
            <w:tcW w:w="738"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672"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672"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3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9" w:type="dxa"/>
            <w:gridSpan w:val="9"/>
            <w:tcBorders/>
            <w:tcMar>
              <w:top w:w="0" w:type="dxa"/>
              <w:left w:w="0" w:type="dxa"/>
              <w:bottom w:w="0" w:type="dxa"/>
              <w:right w:w="0" w:type="dxa"/>
            </w:tcMar>
            <w:vAlign w:val="center"/>
          </w:tcPr>
          <w:p>
            <w:pPr>
              <w:pStyle w:val="TableContents"/>
              <w:bidi w:val="0"/>
              <w:spacing w:lineRule="auto" w:line="252" w:before="0" w:after="283"/>
              <w:jc w:val="center"/>
              <w:rPr>
                <w:rFonts w:ascii="Times New Roman;serif" w:hAnsi="Times New Roman;serif"/>
                <w:b/>
                <w:color w:val="000000"/>
                <w:sz w:val="16"/>
              </w:rPr>
            </w:pPr>
            <w:r>
              <w:rPr>
                <w:rFonts w:ascii="Times New Roman;serif" w:hAnsi="Times New Roman;serif"/>
                <w:b/>
                <w:color w:val="000000"/>
                <w:sz w:val="16"/>
              </w:rPr>
              <w:t>Three Months Ended March 31,</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23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52"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5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52"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309" w:type="dxa"/>
            <w:gridSpan w:val="3"/>
            <w:tcBorders/>
            <w:shd w:fill="CCEEFF" w:val="clear"/>
            <w:tcMar>
              <w:top w:w="0" w:type="dxa"/>
              <w:left w:w="0" w:type="dxa"/>
              <w:bottom w:w="0" w:type="dxa"/>
              <w:right w:w="0" w:type="dxa"/>
            </w:tcMar>
            <w:vAlign w:val="center"/>
          </w:tcPr>
          <w:p>
            <w:pPr>
              <w:pStyle w:val="TableContents"/>
              <w:bidi w:val="0"/>
              <w:spacing w:lineRule="auto" w:line="252" w:before="0" w:after="283"/>
              <w:jc w:val="left"/>
              <w:rPr>
                <w:rFonts w:ascii="Times New Roman;serif" w:hAnsi="Times New Roman;serif"/>
                <w:b w:val="false"/>
                <w:color w:val="000000"/>
                <w:sz w:val="20"/>
              </w:rPr>
            </w:pPr>
            <w:r>
              <w:rPr>
                <w:rFonts w:ascii="Times New Roman;serif" w:hAnsi="Times New Roman;serif"/>
                <w:b w:val="false"/>
                <w:color w:val="000000"/>
                <w:sz w:val="20"/>
              </w:rPr>
              <w:t>Research and development</w:t>
            </w:r>
          </w:p>
        </w:tc>
        <w:tc>
          <w:tcPr>
            <w:tcW w:w="23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52"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7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52" w:before="0" w:after="283"/>
              <w:jc w:val="right"/>
              <w:rPr>
                <w:rFonts w:ascii="Times New Roman;serif" w:hAnsi="Times New Roman;serif"/>
                <w:b w:val="false"/>
                <w:color w:val="000000"/>
                <w:sz w:val="20"/>
              </w:rPr>
            </w:pPr>
            <w:r>
              <w:rPr>
                <w:rFonts w:ascii="Times New Roman;serif" w:hAnsi="Times New Roman;serif"/>
                <w:b w:val="false"/>
                <w:color w:val="000000"/>
                <w:sz w:val="20"/>
              </w:rPr>
              <w:t>1,125 </w:t>
            </w:r>
          </w:p>
        </w:tc>
        <w:tc>
          <w:tcPr>
            <w:tcW w:w="11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52"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7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52" w:before="0" w:after="283"/>
              <w:jc w:val="right"/>
              <w:rPr>
                <w:rFonts w:ascii="Times New Roman;serif" w:hAnsi="Times New Roman;serif"/>
                <w:b w:val="false"/>
                <w:color w:val="000000"/>
                <w:sz w:val="20"/>
              </w:rPr>
            </w:pPr>
            <w:r>
              <w:rPr>
                <w:rFonts w:ascii="Times New Roman;serif" w:hAnsi="Times New Roman;serif"/>
                <w:b w:val="false"/>
                <w:color w:val="000000"/>
                <w:sz w:val="20"/>
              </w:rPr>
              <w:t>1,743 </w:t>
            </w:r>
          </w:p>
        </w:tc>
        <w:tc>
          <w:tcPr>
            <w:tcW w:w="11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309" w:type="dxa"/>
            <w:gridSpan w:val="3"/>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serif" w:hAnsi="Times New Roman;serif"/>
                <w:b w:val="false"/>
                <w:color w:val="000000"/>
                <w:sz w:val="20"/>
              </w:rPr>
            </w:pPr>
            <w:r>
              <w:rPr>
                <w:rFonts w:ascii="Times New Roman;serif" w:hAnsi="Times New Roman;serif"/>
                <w:b w:val="false"/>
                <w:color w:val="000000"/>
                <w:sz w:val="20"/>
              </w:rPr>
              <w:t>General and administrative</w:t>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serif" w:hAnsi="Times New Roman;serif"/>
                <w:b w:val="false"/>
                <w:color w:val="000000"/>
                <w:sz w:val="20"/>
              </w:rPr>
            </w:pPr>
            <w:r>
              <w:rPr>
                <w:rFonts w:ascii="Times New Roman;serif" w:hAnsi="Times New Roman;serif"/>
                <w:b w:val="false"/>
                <w:color w:val="000000"/>
                <w:sz w:val="20"/>
              </w:rPr>
              <w:t>1,232 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serif" w:hAnsi="Times New Roman;serif"/>
                <w:b w:val="false"/>
                <w:color w:val="000000"/>
                <w:sz w:val="20"/>
              </w:rPr>
            </w:pPr>
            <w:r>
              <w:rPr>
                <w:rFonts w:ascii="Times New Roman;serif" w:hAnsi="Times New Roman;serif"/>
                <w:b w:val="false"/>
                <w:color w:val="000000"/>
                <w:sz w:val="20"/>
              </w:rPr>
              <w:t>2,139 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309" w:type="dxa"/>
            <w:gridSpan w:val="3"/>
            <w:tcBorders/>
            <w:shd w:fill="CCEEFF" w:val="clear"/>
            <w:tcMar>
              <w:top w:w="0" w:type="dxa"/>
              <w:left w:w="0" w:type="dxa"/>
              <w:bottom w:w="0" w:type="dxa"/>
              <w:right w:w="0" w:type="dxa"/>
            </w:tcMar>
            <w:vAlign w:val="center"/>
          </w:tcPr>
          <w:p>
            <w:pPr>
              <w:pStyle w:val="TableContents"/>
              <w:bidi w:val="0"/>
              <w:spacing w:lineRule="auto" w:line="252"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23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52"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7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52" w:before="0" w:after="283"/>
              <w:jc w:val="right"/>
              <w:rPr>
                <w:rFonts w:ascii="Times New Roman;serif" w:hAnsi="Times New Roman;serif"/>
                <w:b w:val="false"/>
                <w:color w:val="000000"/>
                <w:sz w:val="20"/>
              </w:rPr>
            </w:pPr>
            <w:r>
              <w:rPr>
                <w:rFonts w:ascii="Times New Roman;serif" w:hAnsi="Times New Roman;serif"/>
                <w:b w:val="false"/>
                <w:color w:val="000000"/>
                <w:sz w:val="20"/>
              </w:rPr>
              <w:t>2,357 </w:t>
            </w:r>
          </w:p>
        </w:tc>
        <w:tc>
          <w:tcPr>
            <w:tcW w:w="11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52"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7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52" w:before="0" w:after="283"/>
              <w:jc w:val="right"/>
              <w:rPr>
                <w:rFonts w:ascii="Times New Roman;serif" w:hAnsi="Times New Roman;serif"/>
                <w:b w:val="false"/>
                <w:color w:val="000000"/>
                <w:sz w:val="20"/>
              </w:rPr>
            </w:pPr>
            <w:r>
              <w:rPr>
                <w:rFonts w:ascii="Times New Roman;serif" w:hAnsi="Times New Roman;serif"/>
                <w:b w:val="false"/>
                <w:color w:val="000000"/>
                <w:sz w:val="20"/>
              </w:rPr>
              <w:t>3,882 </w:t>
            </w:r>
          </w:p>
        </w:tc>
        <w:tc>
          <w:tcPr>
            <w:tcW w:w="11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0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The above stock-based compensation expense related to the following equity-based awards (in thousands): </w:t>
      </w:r>
    </w:p>
    <w:tbl>
      <w:tblPr>
        <w:tblW w:w="4125" w:type="dxa"/>
        <w:jc w:val="left"/>
        <w:tblInd w:w="0" w:type="dxa"/>
        <w:tblLayout w:type="fixed"/>
        <w:tblCellMar>
          <w:top w:w="28" w:type="dxa"/>
          <w:left w:w="28" w:type="dxa"/>
          <w:bottom w:w="28" w:type="dxa"/>
          <w:right w:w="28" w:type="dxa"/>
        </w:tblCellMar>
      </w:tblPr>
      <w:tblGrid>
        <w:gridCol w:w="450"/>
        <w:gridCol w:w="396"/>
        <w:gridCol w:w="399"/>
        <w:gridCol w:w="230"/>
        <w:gridCol w:w="672"/>
        <w:gridCol w:w="119"/>
        <w:gridCol w:w="119"/>
        <w:gridCol w:w="119"/>
        <w:gridCol w:w="119"/>
        <w:gridCol w:w="230"/>
        <w:gridCol w:w="672"/>
        <w:gridCol w:w="119"/>
        <w:gridCol w:w="109"/>
        <w:gridCol w:w="109"/>
        <w:gridCol w:w="109"/>
        <w:gridCol w:w="154"/>
      </w:tblGrid>
      <w:tr>
        <w:trPr/>
        <w:tc>
          <w:tcPr>
            <w:tcW w:w="450" w:type="dxa"/>
            <w:tcBorders/>
            <w:vAlign w:val="center"/>
          </w:tcPr>
          <w:p>
            <w:pPr>
              <w:pStyle w:val="TableContents"/>
              <w:bidi w:val="0"/>
              <w:spacing w:before="0" w:after="283"/>
              <w:jc w:val="left"/>
              <w:rPr>
                <w:sz w:val="4"/>
                <w:szCs w:val="4"/>
              </w:rPr>
            </w:pPr>
            <w:r>
              <w:rPr>
                <w:sz w:val="4"/>
                <w:szCs w:val="4"/>
              </w:rPr>
            </w:r>
          </w:p>
        </w:tc>
        <w:tc>
          <w:tcPr>
            <w:tcW w:w="396" w:type="dxa"/>
            <w:tcBorders/>
            <w:vAlign w:val="center"/>
          </w:tcPr>
          <w:p>
            <w:pPr>
              <w:pStyle w:val="TableContents"/>
              <w:bidi w:val="0"/>
              <w:spacing w:before="0" w:after="283"/>
              <w:jc w:val="left"/>
              <w:rPr>
                <w:sz w:val="4"/>
                <w:szCs w:val="4"/>
              </w:rPr>
            </w:pPr>
            <w:r>
              <w:rPr>
                <w:sz w:val="4"/>
                <w:szCs w:val="4"/>
              </w:rPr>
            </w:r>
          </w:p>
        </w:tc>
        <w:tc>
          <w:tcPr>
            <w:tcW w:w="399"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672"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672"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9" w:type="dxa"/>
            <w:gridSpan w:val="9"/>
            <w:tcBorders/>
            <w:tcMar>
              <w:top w:w="0" w:type="dxa"/>
              <w:left w:w="0" w:type="dxa"/>
              <w:bottom w:w="0" w:type="dxa"/>
              <w:right w:w="0" w:type="dxa"/>
            </w:tcMar>
            <w:vAlign w:val="center"/>
          </w:tcPr>
          <w:p>
            <w:pPr>
              <w:pStyle w:val="TableContents"/>
              <w:bidi w:val="0"/>
              <w:spacing w:lineRule="auto" w:line="252" w:before="0" w:after="283"/>
              <w:jc w:val="center"/>
              <w:rPr>
                <w:rFonts w:ascii="Times New Roman;serif" w:hAnsi="Times New Roman;serif"/>
                <w:b/>
                <w:color w:val="000000"/>
                <w:sz w:val="16"/>
              </w:rPr>
            </w:pPr>
            <w:r>
              <w:rPr>
                <w:rFonts w:ascii="Times New Roman;serif" w:hAnsi="Times New Roman;serif"/>
                <w:b/>
                <w:color w:val="000000"/>
                <w:sz w:val="16"/>
              </w:rPr>
              <w:t>Three Months Ended March 31,</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12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52"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5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52"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45" w:type="dxa"/>
            <w:gridSpan w:val="3"/>
            <w:tcBorders/>
            <w:shd w:fill="CCEEFF" w:val="clear"/>
            <w:tcMar>
              <w:top w:w="0" w:type="dxa"/>
              <w:left w:w="0" w:type="dxa"/>
              <w:bottom w:w="0" w:type="dxa"/>
              <w:right w:w="0" w:type="dxa"/>
            </w:tcMar>
            <w:vAlign w:val="center"/>
          </w:tcPr>
          <w:p>
            <w:pPr>
              <w:pStyle w:val="TableContents"/>
              <w:bidi w:val="0"/>
              <w:spacing w:lineRule="auto" w:line="252" w:before="0" w:after="283"/>
              <w:jc w:val="left"/>
              <w:rPr>
                <w:rFonts w:ascii="Times New Roman;serif" w:hAnsi="Times New Roman;serif"/>
                <w:b w:val="false"/>
                <w:color w:val="000000"/>
                <w:sz w:val="20"/>
              </w:rPr>
            </w:pPr>
            <w:r>
              <w:rPr>
                <w:rFonts w:ascii="Times New Roman;serif" w:hAnsi="Times New Roman;serif"/>
                <w:b w:val="false"/>
                <w:color w:val="000000"/>
                <w:sz w:val="20"/>
              </w:rPr>
              <w:t>Stock options</w:t>
            </w:r>
          </w:p>
        </w:tc>
        <w:tc>
          <w:tcPr>
            <w:tcW w:w="23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52"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7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52" w:before="0" w:after="283"/>
              <w:jc w:val="right"/>
              <w:rPr>
                <w:rFonts w:ascii="Times New Roman;serif" w:hAnsi="Times New Roman;serif"/>
                <w:b w:val="false"/>
                <w:color w:val="000000"/>
                <w:sz w:val="20"/>
              </w:rPr>
            </w:pPr>
            <w:r>
              <w:rPr>
                <w:rFonts w:ascii="Times New Roman;serif" w:hAnsi="Times New Roman;serif"/>
                <w:b w:val="false"/>
                <w:color w:val="000000"/>
                <w:sz w:val="20"/>
              </w:rPr>
              <w:t>1,666 </w:t>
            </w:r>
          </w:p>
        </w:tc>
        <w:tc>
          <w:tcPr>
            <w:tcW w:w="11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52"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7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52" w:before="0" w:after="283"/>
              <w:jc w:val="right"/>
              <w:rPr>
                <w:rFonts w:ascii="Times New Roman;serif" w:hAnsi="Times New Roman;serif"/>
                <w:b w:val="false"/>
                <w:color w:val="000000"/>
                <w:sz w:val="20"/>
              </w:rPr>
            </w:pPr>
            <w:r>
              <w:rPr>
                <w:rFonts w:ascii="Times New Roman;serif" w:hAnsi="Times New Roman;serif"/>
                <w:b w:val="false"/>
                <w:color w:val="000000"/>
                <w:sz w:val="20"/>
              </w:rPr>
              <w:t>3,175 </w:t>
            </w:r>
          </w:p>
        </w:tc>
        <w:tc>
          <w:tcPr>
            <w:tcW w:w="11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45" w:type="dxa"/>
            <w:gridSpan w:val="3"/>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serif" w:hAnsi="Times New Roman;serif"/>
                <w:b w:val="false"/>
                <w:color w:val="000000"/>
                <w:sz w:val="20"/>
              </w:rPr>
            </w:pPr>
            <w:r>
              <w:rPr>
                <w:rFonts w:ascii="Times New Roman;serif" w:hAnsi="Times New Roman;serif"/>
                <w:b w:val="false"/>
                <w:color w:val="000000"/>
                <w:sz w:val="20"/>
              </w:rPr>
              <w:t>RSUs</w:t>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serif" w:hAnsi="Times New Roman;serif"/>
                <w:b w:val="false"/>
                <w:color w:val="000000"/>
                <w:sz w:val="20"/>
              </w:rPr>
            </w:pPr>
            <w:r>
              <w:rPr>
                <w:rFonts w:ascii="Times New Roman;serif" w:hAnsi="Times New Roman;serif"/>
                <w:b w:val="false"/>
                <w:color w:val="000000"/>
                <w:sz w:val="20"/>
              </w:rPr>
              <w:t>574 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serif" w:hAnsi="Times New Roman;serif"/>
                <w:b w:val="false"/>
                <w:color w:val="000000"/>
                <w:sz w:val="20"/>
              </w:rPr>
            </w:pPr>
            <w:r>
              <w:rPr>
                <w:rFonts w:ascii="Times New Roman;serif" w:hAnsi="Times New Roman;serif"/>
                <w:b w:val="false"/>
                <w:color w:val="000000"/>
                <w:sz w:val="20"/>
              </w:rPr>
              <w:t>585 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45" w:type="dxa"/>
            <w:gridSpan w:val="3"/>
            <w:tcBorders/>
            <w:shd w:fill="CCEEFF" w:val="clear"/>
            <w:tcMar>
              <w:top w:w="0" w:type="dxa"/>
              <w:left w:w="0" w:type="dxa"/>
              <w:bottom w:w="0" w:type="dxa"/>
              <w:right w:w="0" w:type="dxa"/>
            </w:tcMar>
            <w:vAlign w:val="center"/>
          </w:tcPr>
          <w:p>
            <w:pPr>
              <w:pStyle w:val="TableContents"/>
              <w:bidi w:val="0"/>
              <w:spacing w:lineRule="auto" w:line="252" w:before="0" w:after="283"/>
              <w:jc w:val="left"/>
              <w:rPr>
                <w:rFonts w:ascii="Times New Roman;serif" w:hAnsi="Times New Roman;serif"/>
                <w:b w:val="false"/>
                <w:color w:val="000000"/>
                <w:sz w:val="20"/>
              </w:rPr>
            </w:pPr>
            <w:r>
              <w:rPr>
                <w:rFonts w:ascii="Times New Roman;serif" w:hAnsi="Times New Roman;serif"/>
                <w:b w:val="false"/>
                <w:color w:val="000000"/>
                <w:sz w:val="20"/>
              </w:rPr>
              <w:t>ESPP</w:t>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52" w:before="0" w:after="283"/>
              <w:jc w:val="right"/>
              <w:rPr>
                <w:rFonts w:ascii="Times New Roman;serif" w:hAnsi="Times New Roman;serif"/>
                <w:b w:val="false"/>
                <w:color w:val="000000"/>
                <w:sz w:val="20"/>
              </w:rPr>
            </w:pPr>
            <w:r>
              <w:rPr>
                <w:rFonts w:ascii="Times New Roman;serif" w:hAnsi="Times New Roman;serif"/>
                <w:b w:val="false"/>
                <w:color w:val="000000"/>
                <w:sz w:val="20"/>
              </w:rPr>
              <w:t>117 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52" w:before="0" w:after="283"/>
              <w:jc w:val="right"/>
              <w:rPr>
                <w:rFonts w:ascii="Times New Roman;serif" w:hAnsi="Times New Roman;serif"/>
                <w:b w:val="false"/>
                <w:color w:val="000000"/>
                <w:sz w:val="20"/>
              </w:rPr>
            </w:pPr>
            <w:r>
              <w:rPr>
                <w:rFonts w:ascii="Times New Roman;serif" w:hAnsi="Times New Roman;serif"/>
                <w:b w:val="false"/>
                <w:color w:val="000000"/>
                <w:sz w:val="20"/>
              </w:rPr>
              <w:t>122 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45" w:type="dxa"/>
            <w:gridSpan w:val="3"/>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23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52"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7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52" w:before="0" w:after="283"/>
              <w:jc w:val="right"/>
              <w:rPr>
                <w:rFonts w:ascii="Times New Roman;serif" w:hAnsi="Times New Roman;serif"/>
                <w:b w:val="false"/>
                <w:color w:val="000000"/>
                <w:sz w:val="20"/>
              </w:rPr>
            </w:pPr>
            <w:r>
              <w:rPr>
                <w:rFonts w:ascii="Times New Roman;serif" w:hAnsi="Times New Roman;serif"/>
                <w:b w:val="false"/>
                <w:color w:val="000000"/>
                <w:sz w:val="20"/>
              </w:rPr>
              <w:t>2,357 </w:t>
            </w:r>
          </w:p>
        </w:tc>
        <w:tc>
          <w:tcPr>
            <w:tcW w:w="11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52"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7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52" w:before="0" w:after="283"/>
              <w:jc w:val="right"/>
              <w:rPr>
                <w:rFonts w:ascii="Times New Roman;serif" w:hAnsi="Times New Roman;serif"/>
                <w:b w:val="false"/>
                <w:color w:val="000000"/>
                <w:sz w:val="20"/>
              </w:rPr>
            </w:pPr>
            <w:r>
              <w:rPr>
                <w:rFonts w:ascii="Times New Roman;serif" w:hAnsi="Times New Roman;serif"/>
                <w:b w:val="false"/>
                <w:color w:val="000000"/>
                <w:sz w:val="20"/>
              </w:rPr>
              <w:t>3,882 </w:t>
            </w:r>
          </w:p>
        </w:tc>
        <w:tc>
          <w:tcPr>
            <w:tcW w:w="11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83"/>
        <w:jc w:val="left"/>
        <w:rPr>
          <w:rFonts w:ascii="Times New Roman;serif" w:hAnsi="Times New Roman;serif"/>
          <w:b/>
          <w:color w:val="000000"/>
          <w:sz w:val="20"/>
        </w:rPr>
      </w:pPr>
      <w:r>
        <w:rPr>
          <w:rFonts w:ascii="Times New Roman;serif" w:hAnsi="Times New Roman;serif"/>
          <w:b/>
          <w:color w:val="000000"/>
          <w:sz w:val="20"/>
        </w:rPr>
        <w:t>11. Income Taxes</w:t>
      </w:r>
    </w:p>
    <w:p>
      <w:pPr>
        <w:pStyle w:val="TextBody"/>
        <w:bidi w:val="0"/>
        <w:spacing w:lineRule="auto" w:line="288" w:before="20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No income tax expense was recorded during each of the three-month periods ended March 31, 2026, and March 31, 2025 due to our operating losses.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6480175" cy="146685"/>
                <wp:effectExtent l="0" t="0" r="0" b="0"/>
                <wp:wrapNone/>
                <wp:docPr id="16" name="Frame1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14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14</w:t>
                      </w:r>
                    </w:p>
                  </w:txbxContent>
                </v:textbox>
                <w10:wrap type="none"/>
              </v:rect>
            </w:pict>
          </mc:Fallback>
        </mc:AlternateContent>
      </w:r>
    </w:p>
    <w:p>
      <w:pPr>
        <w:pStyle w:val="TextBody"/>
        <w:bidi w:val="0"/>
        <w:spacing w:lineRule="auto" w:line="288" w:before="0" w:after="0"/>
        <w:jc w:val="left"/>
        <w:rPr/>
      </w:pPr>
      <w:hyperlink w:anchor="i7f5619487a1149c59a3dd36fee75a584_7">
        <w:r>
          <w:rPr>
            <w:rStyle w:val="InternetLink"/>
            <w:rFonts w:ascii="Times New Roman;serif" w:hAnsi="Times New Roman;serif"/>
            <w:b w:val="false"/>
            <w:color w:val="0000FF"/>
            <w:sz w:val="20"/>
            <w:u w:val="single"/>
          </w:rPr>
          <w:t>Table of Contents</w:t>
        </w:r>
      </w:hyperlink>
    </w:p>
    <w:p>
      <w:pPr>
        <w:pStyle w:val="TextBody"/>
        <w:bidi w:val="0"/>
        <w:spacing w:lineRule="auto" w:line="288" w:before="200" w:after="283"/>
        <w:jc w:val="left"/>
        <w:rPr>
          <w:rFonts w:ascii="Times New Roman;serif" w:hAnsi="Times New Roman;serif"/>
          <w:b/>
          <w:color w:val="000000"/>
          <w:sz w:val="20"/>
        </w:rPr>
      </w:pPr>
      <w:r>
        <w:rPr>
          <w:rFonts w:ascii="Times New Roman;serif" w:hAnsi="Times New Roman;serif"/>
          <w:b/>
          <w:color w:val="000000"/>
          <w:sz w:val="20"/>
        </w:rPr>
        <w:t>12. Net Loss Per Share</w:t>
      </w:r>
    </w:p>
    <w:p>
      <w:pPr>
        <w:pStyle w:val="TextBody"/>
        <w:bidi w:val="0"/>
        <w:spacing w:lineRule="auto" w:line="288" w:before="20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following table sets forth the computation of the basic and diluted net loss per share (in thousands, except share and per share amounts):</w:t>
      </w:r>
    </w:p>
    <w:tbl>
      <w:tblPr>
        <w:tblW w:w="10205" w:type="dxa"/>
        <w:jc w:val="left"/>
        <w:tblInd w:w="0" w:type="dxa"/>
        <w:tblLayout w:type="fixed"/>
        <w:tblCellMar>
          <w:top w:w="28" w:type="dxa"/>
          <w:left w:w="28" w:type="dxa"/>
          <w:bottom w:w="28" w:type="dxa"/>
          <w:right w:w="28" w:type="dxa"/>
        </w:tblCellMar>
      </w:tblPr>
      <w:tblGrid>
        <w:gridCol w:w="2530"/>
        <w:gridCol w:w="2228"/>
        <w:gridCol w:w="2258"/>
        <w:gridCol w:w="240"/>
        <w:gridCol w:w="841"/>
        <w:gridCol w:w="109"/>
        <w:gridCol w:w="109"/>
        <w:gridCol w:w="109"/>
        <w:gridCol w:w="109"/>
        <w:gridCol w:w="240"/>
        <w:gridCol w:w="841"/>
        <w:gridCol w:w="109"/>
        <w:gridCol w:w="109"/>
        <w:gridCol w:w="109"/>
        <w:gridCol w:w="109"/>
        <w:gridCol w:w="155"/>
      </w:tblGrid>
      <w:tr>
        <w:trPr/>
        <w:tc>
          <w:tcPr>
            <w:tcW w:w="2530" w:type="dxa"/>
            <w:tcBorders/>
            <w:vAlign w:val="center"/>
          </w:tcPr>
          <w:p>
            <w:pPr>
              <w:pStyle w:val="TableContents"/>
              <w:bidi w:val="0"/>
              <w:spacing w:before="0" w:after="283"/>
              <w:jc w:val="left"/>
              <w:rPr>
                <w:sz w:val="4"/>
                <w:szCs w:val="4"/>
              </w:rPr>
            </w:pPr>
            <w:r>
              <w:rPr>
                <w:sz w:val="4"/>
                <w:szCs w:val="4"/>
              </w:rPr>
            </w:r>
          </w:p>
        </w:tc>
        <w:tc>
          <w:tcPr>
            <w:tcW w:w="2228" w:type="dxa"/>
            <w:tcBorders/>
            <w:vAlign w:val="center"/>
          </w:tcPr>
          <w:p>
            <w:pPr>
              <w:pStyle w:val="TableContents"/>
              <w:bidi w:val="0"/>
              <w:spacing w:before="0" w:after="283"/>
              <w:jc w:val="left"/>
              <w:rPr>
                <w:sz w:val="4"/>
                <w:szCs w:val="4"/>
              </w:rPr>
            </w:pPr>
            <w:r>
              <w:rPr>
                <w:sz w:val="4"/>
                <w:szCs w:val="4"/>
              </w:rPr>
            </w:r>
          </w:p>
        </w:tc>
        <w:tc>
          <w:tcPr>
            <w:tcW w:w="2258"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70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0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w:t>
              <w:br/>
              <w:t>March 31,</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4" w:type="dxa"/>
            <w:gridSpan w:val="2"/>
            <w:tcBorders/>
          </w:tcPr>
          <w:p>
            <w:pPr>
              <w:pStyle w:val="TableContents"/>
              <w:bidi w:val="0"/>
              <w:spacing w:before="0" w:after="283"/>
              <w:jc w:val="left"/>
              <w:rPr>
                <w:sz w:val="4"/>
                <w:szCs w:val="4"/>
              </w:rPr>
            </w:pPr>
            <w:r>
              <w:rPr>
                <w:sz w:val="4"/>
                <w:szCs w:val="4"/>
              </w:rPr>
            </w:r>
          </w:p>
        </w:tc>
      </w:tr>
      <w:tr>
        <w:trPr/>
        <w:tc>
          <w:tcPr>
            <w:tcW w:w="70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52"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52"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7016" w:type="dxa"/>
            <w:gridSpan w:val="3"/>
            <w:tcBorders/>
            <w:shd w:fill="CCEEFF" w:val="clear"/>
            <w:tcMar>
              <w:top w:w="0" w:type="dxa"/>
              <w:left w:w="0" w:type="dxa"/>
              <w:bottom w:w="0" w:type="dxa"/>
              <w:right w:w="0" w:type="dxa"/>
            </w:tcMar>
            <w:vAlign w:val="center"/>
          </w:tcPr>
          <w:p>
            <w:pPr>
              <w:pStyle w:val="TableContents"/>
              <w:bidi w:val="0"/>
              <w:spacing w:lineRule="auto" w:line="252" w:before="0" w:after="283"/>
              <w:jc w:val="left"/>
              <w:rPr>
                <w:rFonts w:ascii="Times New Roman;serif" w:hAnsi="Times New Roman;serif"/>
                <w:b w:val="false"/>
                <w:color w:val="000000"/>
                <w:sz w:val="20"/>
              </w:rPr>
            </w:pPr>
            <w:r>
              <w:rPr>
                <w:rFonts w:ascii="Times New Roman;serif" w:hAnsi="Times New Roman;serif"/>
                <w:b w:val="false"/>
                <w:color w:val="000000"/>
                <w:sz w:val="20"/>
              </w:rPr>
              <w:t>Numerator:</w:t>
            </w:r>
          </w:p>
        </w:tc>
        <w:tc>
          <w:tcPr>
            <w:tcW w:w="119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7016" w:type="dxa"/>
            <w:gridSpan w:val="3"/>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serif" w:hAnsi="Times New Roman;serif"/>
                <w:b w:val="false"/>
                <w:color w:val="000000"/>
                <w:sz w:val="20"/>
              </w:rPr>
            </w:pPr>
            <w:r>
              <w:rPr>
                <w:rFonts w:ascii="Times New Roman;serif" w:hAnsi="Times New Roman;serif"/>
                <w:b w:val="false"/>
                <w:color w:val="000000"/>
                <w:sz w:val="20"/>
              </w:rPr>
              <w:t>Net loss</w:t>
            </w:r>
          </w:p>
        </w:tc>
        <w:tc>
          <w:tcPr>
            <w:tcW w:w="240"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1"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serif" w:hAnsi="Times New Roman;serif"/>
                <w:b w:val="false"/>
                <w:color w:val="000000"/>
                <w:sz w:val="20"/>
              </w:rPr>
            </w:pPr>
            <w:r>
              <w:rPr>
                <w:rFonts w:ascii="Times New Roman;serif" w:hAnsi="Times New Roman;serif"/>
                <w:b w:val="false"/>
                <w:color w:val="000000"/>
                <w:sz w:val="20"/>
              </w:rPr>
              <w:t>(25,085)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1"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serif" w:hAnsi="Times New Roman;serif"/>
                <w:b w:val="false"/>
                <w:color w:val="000000"/>
                <w:sz w:val="20"/>
              </w:rPr>
            </w:pPr>
            <w:r>
              <w:rPr>
                <w:rFonts w:ascii="Times New Roman;serif" w:hAnsi="Times New Roman;serif"/>
                <w:b w:val="false"/>
                <w:color w:val="000000"/>
                <w:sz w:val="20"/>
              </w:rPr>
              <w:t>(39,991)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7016" w:type="dxa"/>
            <w:gridSpan w:val="3"/>
            <w:tcBorders/>
            <w:shd w:fill="CCEEFF" w:val="clear"/>
            <w:tcMar>
              <w:top w:w="0" w:type="dxa"/>
              <w:left w:w="0" w:type="dxa"/>
              <w:bottom w:w="0" w:type="dxa"/>
              <w:right w:w="0" w:type="dxa"/>
            </w:tcMar>
            <w:vAlign w:val="center"/>
          </w:tcPr>
          <w:p>
            <w:pPr>
              <w:pStyle w:val="TableContents"/>
              <w:bidi w:val="0"/>
              <w:spacing w:lineRule="auto" w:line="252" w:before="0" w:after="283"/>
              <w:jc w:val="left"/>
              <w:rPr>
                <w:rFonts w:ascii="Times New Roman;serif" w:hAnsi="Times New Roman;serif"/>
                <w:b w:val="false"/>
                <w:color w:val="000000"/>
                <w:sz w:val="20"/>
              </w:rPr>
            </w:pPr>
            <w:r>
              <w:rPr>
                <w:rFonts w:ascii="Times New Roman;serif" w:hAnsi="Times New Roman;serif"/>
                <w:b w:val="false"/>
                <w:color w:val="000000"/>
                <w:sz w:val="20"/>
              </w:rPr>
              <w:t>Denominator:</w:t>
            </w:r>
          </w:p>
        </w:tc>
        <w:tc>
          <w:tcPr>
            <w:tcW w:w="1190"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7016" w:type="dxa"/>
            <w:gridSpan w:val="3"/>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serif" w:hAnsi="Times New Roman;serif"/>
                <w:b w:val="false"/>
                <w:color w:val="000000"/>
                <w:sz w:val="20"/>
              </w:rPr>
            </w:pPr>
            <w:r>
              <w:rPr>
                <w:rFonts w:ascii="Times New Roman;serif" w:hAnsi="Times New Roman;serif"/>
                <w:b w:val="false"/>
                <w:color w:val="000000"/>
                <w:sz w:val="20"/>
              </w:rPr>
              <w:t>Weighted-average common shares outstanding used to compute net loss per share, basic and diluted</w:t>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serif" w:hAnsi="Times New Roman;serif"/>
                <w:b w:val="false"/>
                <w:color w:val="000000"/>
                <w:sz w:val="20"/>
              </w:rPr>
            </w:pPr>
            <w:r>
              <w:rPr>
                <w:rFonts w:ascii="Times New Roman;serif" w:hAnsi="Times New Roman;serif"/>
                <w:b w:val="false"/>
                <w:color w:val="000000"/>
                <w:sz w:val="20"/>
              </w:rPr>
              <w:t>95,861,716 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serif" w:hAnsi="Times New Roman;serif"/>
                <w:b w:val="false"/>
                <w:color w:val="000000"/>
                <w:sz w:val="20"/>
              </w:rPr>
            </w:pPr>
            <w:r>
              <w:rPr>
                <w:rFonts w:ascii="Times New Roman;serif" w:hAnsi="Times New Roman;serif"/>
                <w:b w:val="false"/>
                <w:color w:val="000000"/>
                <w:sz w:val="20"/>
              </w:rPr>
              <w:t>92,679,493 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7016" w:type="dxa"/>
            <w:gridSpan w:val="3"/>
            <w:tcBorders/>
            <w:shd w:fill="CCEEFF" w:val="clear"/>
            <w:tcMar>
              <w:top w:w="0" w:type="dxa"/>
              <w:left w:w="0" w:type="dxa"/>
              <w:bottom w:w="0" w:type="dxa"/>
              <w:right w:w="0" w:type="dxa"/>
            </w:tcMar>
            <w:vAlign w:val="center"/>
          </w:tcPr>
          <w:p>
            <w:pPr>
              <w:pStyle w:val="TableContents"/>
              <w:bidi w:val="0"/>
              <w:spacing w:lineRule="auto" w:line="252" w:before="0" w:after="283"/>
              <w:jc w:val="left"/>
              <w:rPr>
                <w:rFonts w:ascii="Times New Roman;serif" w:hAnsi="Times New Roman;serif"/>
                <w:b w:val="false"/>
                <w:color w:val="000000"/>
                <w:sz w:val="20"/>
              </w:rPr>
            </w:pPr>
            <w:r>
              <w:rPr>
                <w:rFonts w:ascii="Times New Roman;serif" w:hAnsi="Times New Roman;serif"/>
                <w:b w:val="false"/>
                <w:color w:val="000000"/>
                <w:sz w:val="20"/>
              </w:rPr>
              <w:t>Net loss per share, basic and diluted</w:t>
            </w:r>
          </w:p>
        </w:tc>
        <w:tc>
          <w:tcPr>
            <w:tcW w:w="240"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52"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1"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52" w:before="0" w:after="283"/>
              <w:jc w:val="right"/>
              <w:rPr>
                <w:rFonts w:ascii="Times New Roman;serif" w:hAnsi="Times New Roman;serif"/>
                <w:b w:val="false"/>
                <w:color w:val="000000"/>
                <w:sz w:val="20"/>
              </w:rPr>
            </w:pPr>
            <w:r>
              <w:rPr>
                <w:rFonts w:ascii="Times New Roman;serif" w:hAnsi="Times New Roman;serif"/>
                <w:b w:val="false"/>
                <w:color w:val="000000"/>
                <w:sz w:val="20"/>
              </w:rPr>
              <w:t>(0.26)</w:t>
            </w:r>
          </w:p>
        </w:tc>
        <w:tc>
          <w:tcPr>
            <w:tcW w:w="109"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52"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1"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52" w:before="0" w:after="283"/>
              <w:jc w:val="right"/>
              <w:rPr>
                <w:rFonts w:ascii="Times New Roman;serif" w:hAnsi="Times New Roman;serif"/>
                <w:b w:val="false"/>
                <w:color w:val="000000"/>
                <w:sz w:val="20"/>
              </w:rPr>
            </w:pPr>
            <w:r>
              <w:rPr>
                <w:rFonts w:ascii="Times New Roman;serif" w:hAnsi="Times New Roman;serif"/>
                <w:b w:val="false"/>
                <w:color w:val="000000"/>
                <w:sz w:val="20"/>
              </w:rPr>
              <w:t>(0.43)</w:t>
            </w:r>
          </w:p>
        </w:tc>
        <w:tc>
          <w:tcPr>
            <w:tcW w:w="109"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0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Because we were in a net loss position for all periods presented, basic net loss per share is the same as diluted net loss per share for all periods, as the inclusion of all common stock equivalents outstanding would have been anti-dilutive. Potentially dilutive securities that were not included in the diluted per share calculations because they would be anti-dilutive were as follows:</w:t>
      </w:r>
    </w:p>
    <w:tbl>
      <w:tblPr>
        <w:tblW w:w="4994" w:type="dxa"/>
        <w:jc w:val="left"/>
        <w:tblInd w:w="0" w:type="dxa"/>
        <w:tblLayout w:type="fixed"/>
        <w:tblCellMar>
          <w:top w:w="28" w:type="dxa"/>
          <w:left w:w="28" w:type="dxa"/>
          <w:bottom w:w="28" w:type="dxa"/>
          <w:right w:w="28" w:type="dxa"/>
        </w:tblCellMar>
      </w:tblPr>
      <w:tblGrid>
        <w:gridCol w:w="924"/>
        <w:gridCol w:w="812"/>
        <w:gridCol w:w="814"/>
        <w:gridCol w:w="344"/>
        <w:gridCol w:w="344"/>
        <w:gridCol w:w="348"/>
        <w:gridCol w:w="109"/>
        <w:gridCol w:w="109"/>
        <w:gridCol w:w="109"/>
        <w:gridCol w:w="315"/>
        <w:gridCol w:w="315"/>
        <w:gridCol w:w="451"/>
      </w:tblGrid>
      <w:tr>
        <w:trPr/>
        <w:tc>
          <w:tcPr>
            <w:tcW w:w="924" w:type="dxa"/>
            <w:tcBorders/>
            <w:vAlign w:val="center"/>
          </w:tcPr>
          <w:p>
            <w:pPr>
              <w:pStyle w:val="TableContents"/>
              <w:bidi w:val="0"/>
              <w:spacing w:before="0" w:after="283"/>
              <w:jc w:val="left"/>
              <w:rPr>
                <w:sz w:val="4"/>
                <w:szCs w:val="4"/>
              </w:rPr>
            </w:pPr>
            <w:r>
              <w:rPr>
                <w:sz w:val="4"/>
                <w:szCs w:val="4"/>
              </w:rPr>
            </w:r>
          </w:p>
        </w:tc>
        <w:tc>
          <w:tcPr>
            <w:tcW w:w="812" w:type="dxa"/>
            <w:tcBorders/>
            <w:vAlign w:val="center"/>
          </w:tcPr>
          <w:p>
            <w:pPr>
              <w:pStyle w:val="TableContents"/>
              <w:bidi w:val="0"/>
              <w:spacing w:before="0" w:after="283"/>
              <w:jc w:val="left"/>
              <w:rPr>
                <w:sz w:val="4"/>
                <w:szCs w:val="4"/>
              </w:rPr>
            </w:pPr>
            <w:r>
              <w:rPr>
                <w:sz w:val="4"/>
                <w:szCs w:val="4"/>
              </w:rPr>
            </w:r>
          </w:p>
        </w:tc>
        <w:tc>
          <w:tcPr>
            <w:tcW w:w="814" w:type="dxa"/>
            <w:tcBorders/>
            <w:vAlign w:val="center"/>
          </w:tcPr>
          <w:p>
            <w:pPr>
              <w:pStyle w:val="TableContents"/>
              <w:bidi w:val="0"/>
              <w:spacing w:before="0" w:after="283"/>
              <w:jc w:val="left"/>
              <w:rPr>
                <w:sz w:val="4"/>
                <w:szCs w:val="4"/>
              </w:rPr>
            </w:pPr>
            <w:r>
              <w:rPr>
                <w:sz w:val="4"/>
                <w:szCs w:val="4"/>
              </w:rPr>
            </w:r>
          </w:p>
        </w:tc>
        <w:tc>
          <w:tcPr>
            <w:tcW w:w="344" w:type="dxa"/>
            <w:tcBorders/>
            <w:vAlign w:val="center"/>
          </w:tcPr>
          <w:p>
            <w:pPr>
              <w:pStyle w:val="TableContents"/>
              <w:bidi w:val="0"/>
              <w:spacing w:before="0" w:after="283"/>
              <w:jc w:val="left"/>
              <w:rPr>
                <w:sz w:val="4"/>
                <w:szCs w:val="4"/>
              </w:rPr>
            </w:pPr>
            <w:r>
              <w:rPr>
                <w:sz w:val="4"/>
                <w:szCs w:val="4"/>
              </w:rPr>
            </w:r>
          </w:p>
        </w:tc>
        <w:tc>
          <w:tcPr>
            <w:tcW w:w="344" w:type="dxa"/>
            <w:tcBorders/>
            <w:vAlign w:val="center"/>
          </w:tcPr>
          <w:p>
            <w:pPr>
              <w:pStyle w:val="TableContents"/>
              <w:bidi w:val="0"/>
              <w:spacing w:before="0" w:after="283"/>
              <w:jc w:val="left"/>
              <w:rPr>
                <w:sz w:val="4"/>
                <w:szCs w:val="4"/>
              </w:rPr>
            </w:pPr>
            <w:r>
              <w:rPr>
                <w:sz w:val="4"/>
                <w:szCs w:val="4"/>
              </w:rPr>
            </w:r>
          </w:p>
        </w:tc>
        <w:tc>
          <w:tcPr>
            <w:tcW w:w="34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5" w:type="dxa"/>
            <w:tcBorders/>
            <w:vAlign w:val="center"/>
          </w:tcPr>
          <w:p>
            <w:pPr>
              <w:pStyle w:val="TableContents"/>
              <w:bidi w:val="0"/>
              <w:spacing w:before="0" w:after="283"/>
              <w:jc w:val="left"/>
              <w:rPr>
                <w:sz w:val="4"/>
                <w:szCs w:val="4"/>
              </w:rPr>
            </w:pPr>
            <w:r>
              <w:rPr>
                <w:sz w:val="4"/>
                <w:szCs w:val="4"/>
              </w:rPr>
            </w:r>
          </w:p>
        </w:tc>
        <w:tc>
          <w:tcPr>
            <w:tcW w:w="315" w:type="dxa"/>
            <w:tcBorders/>
            <w:vAlign w:val="center"/>
          </w:tcPr>
          <w:p>
            <w:pPr>
              <w:pStyle w:val="TableContents"/>
              <w:bidi w:val="0"/>
              <w:spacing w:before="0" w:after="283"/>
              <w:jc w:val="left"/>
              <w:rPr>
                <w:sz w:val="4"/>
                <w:szCs w:val="4"/>
              </w:rPr>
            </w:pPr>
            <w:r>
              <w:rPr>
                <w:sz w:val="4"/>
                <w:szCs w:val="4"/>
              </w:rPr>
            </w:r>
          </w:p>
        </w:tc>
        <w:tc>
          <w:tcPr>
            <w:tcW w:w="451" w:type="dxa"/>
            <w:tcBorders/>
            <w:vAlign w:val="center"/>
          </w:tcPr>
          <w:p>
            <w:pPr>
              <w:pStyle w:val="TableContents"/>
              <w:bidi w:val="0"/>
              <w:spacing w:before="0" w:after="283"/>
              <w:jc w:val="left"/>
              <w:rPr>
                <w:sz w:val="4"/>
                <w:szCs w:val="4"/>
              </w:rPr>
            </w:pPr>
            <w:r>
              <w:rPr>
                <w:sz w:val="4"/>
                <w:szCs w:val="4"/>
              </w:rPr>
            </w:r>
          </w:p>
        </w:tc>
      </w:tr>
      <w:tr>
        <w:trPr/>
        <w:tc>
          <w:tcPr>
            <w:tcW w:w="25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As of</w:t>
              <w:br/>
              <w:t>March 31,</w:t>
              <w:b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As of</w:t>
              <w:br/>
              <w:t>March 31,</w:t>
              <w:br/>
              <w:t>2025</w:t>
            </w:r>
          </w:p>
        </w:tc>
      </w:tr>
      <w:tr>
        <w:trPr/>
        <w:tc>
          <w:tcPr>
            <w:tcW w:w="2550" w:type="dxa"/>
            <w:gridSpan w:val="3"/>
            <w:tcBorders/>
            <w:shd w:fill="CCEEFF" w:val="clear"/>
            <w:tcMar>
              <w:top w:w="0" w:type="dxa"/>
              <w:left w:w="0" w:type="dxa"/>
              <w:bottom w:w="0" w:type="dxa"/>
              <w:right w:w="0" w:type="dxa"/>
            </w:tcMar>
            <w:vAlign w:val="center"/>
          </w:tcPr>
          <w:p>
            <w:pPr>
              <w:pStyle w:val="TableContents"/>
              <w:bidi w:val="0"/>
              <w:spacing w:lineRule="auto" w:line="252" w:before="0" w:after="283"/>
              <w:jc w:val="left"/>
              <w:rPr>
                <w:rFonts w:ascii="Times New Roman;serif" w:hAnsi="Times New Roman;serif"/>
                <w:b w:val="false"/>
                <w:color w:val="000000"/>
                <w:sz w:val="20"/>
              </w:rPr>
            </w:pPr>
            <w:r>
              <w:rPr>
                <w:rFonts w:ascii="Times New Roman;serif" w:hAnsi="Times New Roman;serif"/>
                <w:b w:val="false"/>
                <w:color w:val="000000"/>
                <w:sz w:val="20"/>
              </w:rPr>
              <w:t>Stock options outstanding</w:t>
            </w:r>
          </w:p>
        </w:tc>
        <w:tc>
          <w:tcPr>
            <w:tcW w:w="103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52" w:before="0" w:after="283"/>
              <w:jc w:val="right"/>
              <w:rPr>
                <w:rFonts w:ascii="Times New Roman;serif" w:hAnsi="Times New Roman;serif"/>
                <w:b w:val="false"/>
                <w:color w:val="000000"/>
                <w:sz w:val="20"/>
              </w:rPr>
            </w:pPr>
            <w:r>
              <w:rPr>
                <w:rFonts w:ascii="Times New Roman;serif" w:hAnsi="Times New Roman;serif"/>
                <w:b w:val="false"/>
                <w:color w:val="000000"/>
                <w:sz w:val="20"/>
              </w:rPr>
              <w:t>15,895,762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52" w:before="0" w:after="283"/>
              <w:jc w:val="right"/>
              <w:rPr>
                <w:rFonts w:ascii="Times New Roman;serif" w:hAnsi="Times New Roman;serif"/>
                <w:b w:val="false"/>
                <w:color w:val="000000"/>
                <w:sz w:val="20"/>
              </w:rPr>
            </w:pPr>
            <w:r>
              <w:rPr>
                <w:rFonts w:ascii="Times New Roman;serif" w:hAnsi="Times New Roman;serif"/>
                <w:b w:val="false"/>
                <w:color w:val="000000"/>
                <w:sz w:val="20"/>
              </w:rPr>
              <w:t>14,022,265</w:t>
            </w:r>
          </w:p>
        </w:tc>
      </w:tr>
      <w:tr>
        <w:trPr/>
        <w:tc>
          <w:tcPr>
            <w:tcW w:w="2550" w:type="dxa"/>
            <w:gridSpan w:val="3"/>
            <w:tcBorders/>
            <w:shd w:fill="FFFFFF" w:val="clear"/>
            <w:tcMar>
              <w:top w:w="0" w:type="dxa"/>
              <w:left w:w="0" w:type="dxa"/>
              <w:bottom w:w="0" w:type="dxa"/>
              <w:right w:w="0" w:type="dxa"/>
            </w:tcMar>
            <w:vAlign w:val="center"/>
          </w:tcPr>
          <w:p>
            <w:pPr>
              <w:pStyle w:val="TableContents"/>
              <w:bidi w:val="0"/>
              <w:spacing w:lineRule="auto" w:line="252" w:before="0" w:after="0"/>
              <w:jc w:val="left"/>
              <w:rPr>
                <w:rFonts w:ascii="Times New Roman;serif" w:hAnsi="Times New Roman;serif"/>
                <w:b w:val="false"/>
                <w:color w:val="000000"/>
                <w:sz w:val="20"/>
              </w:rPr>
            </w:pPr>
            <w:r>
              <w:rPr>
                <w:rFonts w:ascii="Times New Roman;serif" w:hAnsi="Times New Roman;serif"/>
                <w:b w:val="false"/>
                <w:color w:val="000000"/>
                <w:sz w:val="20"/>
              </w:rPr>
              <w:t>RSUs issued and outstanding</w:t>
            </w:r>
          </w:p>
        </w:tc>
        <w:tc>
          <w:tcPr>
            <w:tcW w:w="1036" w:type="dxa"/>
            <w:gridSpan w:val="3"/>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serif" w:hAnsi="Times New Roman;serif"/>
                <w:b w:val="false"/>
                <w:color w:val="000000"/>
                <w:sz w:val="20"/>
              </w:rPr>
            </w:pPr>
            <w:r>
              <w:rPr>
                <w:rFonts w:ascii="Times New Roman;serif" w:hAnsi="Times New Roman;serif"/>
                <w:b w:val="false"/>
                <w:color w:val="000000"/>
                <w:sz w:val="20"/>
              </w:rPr>
              <w:t>3,019,668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3"/>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serif" w:hAnsi="Times New Roman;serif"/>
                <w:b w:val="false"/>
                <w:color w:val="000000"/>
                <w:sz w:val="20"/>
              </w:rPr>
            </w:pPr>
            <w:r>
              <w:rPr>
                <w:rFonts w:ascii="Times New Roman;serif" w:hAnsi="Times New Roman;serif"/>
                <w:b w:val="false"/>
                <w:color w:val="000000"/>
                <w:sz w:val="20"/>
              </w:rPr>
              <w:t>2,217,789</w:t>
            </w:r>
          </w:p>
        </w:tc>
      </w:tr>
      <w:tr>
        <w:trPr/>
        <w:tc>
          <w:tcPr>
            <w:tcW w:w="2550" w:type="dxa"/>
            <w:gridSpan w:val="3"/>
            <w:tcBorders/>
            <w:shd w:fill="CCEEFF" w:val="clear"/>
            <w:tcMar>
              <w:top w:w="0" w:type="dxa"/>
              <w:left w:w="0" w:type="dxa"/>
              <w:bottom w:w="0" w:type="dxa"/>
              <w:right w:w="0" w:type="dxa"/>
            </w:tcMar>
            <w:vAlign w:val="center"/>
          </w:tcPr>
          <w:p>
            <w:pPr>
              <w:pStyle w:val="TableContents"/>
              <w:bidi w:val="0"/>
              <w:spacing w:lineRule="auto" w:line="252" w:before="0" w:after="283"/>
              <w:jc w:val="left"/>
              <w:rPr>
                <w:rFonts w:ascii="Times New Roman;serif" w:hAnsi="Times New Roman;serif"/>
                <w:b w:val="false"/>
                <w:color w:val="000000"/>
                <w:sz w:val="20"/>
              </w:rPr>
            </w:pPr>
            <w:r>
              <w:rPr>
                <w:rFonts w:ascii="Times New Roman;serif" w:hAnsi="Times New Roman;serif"/>
                <w:b w:val="false"/>
                <w:color w:val="000000"/>
                <w:sz w:val="20"/>
              </w:rPr>
              <w:t>Shares committed under ESPP</w:t>
            </w:r>
          </w:p>
        </w:tc>
        <w:tc>
          <w:tcPr>
            <w:tcW w:w="1036" w:type="dxa"/>
            <w:gridSpan w:val="3"/>
            <w:tcBorders/>
            <w:shd w:fill="CCEEFF" w:val="clear"/>
            <w:tcMar>
              <w:top w:w="0" w:type="dxa"/>
              <w:left w:w="0" w:type="dxa"/>
              <w:bottom w:w="0" w:type="dxa"/>
              <w:right w:w="0" w:type="dxa"/>
            </w:tcMar>
            <w:vAlign w:val="center"/>
          </w:tcPr>
          <w:p>
            <w:pPr>
              <w:pStyle w:val="TableContents"/>
              <w:bidi w:val="0"/>
              <w:spacing w:lineRule="auto" w:line="252" w:before="0" w:after="283"/>
              <w:jc w:val="right"/>
              <w:rPr>
                <w:rFonts w:ascii="Times New Roman;serif" w:hAnsi="Times New Roman;serif"/>
                <w:b w:val="false"/>
                <w:color w:val="000000"/>
                <w:sz w:val="20"/>
              </w:rPr>
            </w:pPr>
            <w:r>
              <w:rPr>
                <w:rFonts w:ascii="Times New Roman;serif" w:hAnsi="Times New Roman;serif"/>
                <w:b w:val="false"/>
                <w:color w:val="000000"/>
                <w:sz w:val="20"/>
              </w:rPr>
              <w:t>324,132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3"/>
            <w:tcBorders/>
            <w:shd w:fill="CCEEFF" w:val="clear"/>
            <w:tcMar>
              <w:top w:w="0" w:type="dxa"/>
              <w:left w:w="0" w:type="dxa"/>
              <w:bottom w:w="0" w:type="dxa"/>
              <w:right w:w="0" w:type="dxa"/>
            </w:tcMar>
            <w:vAlign w:val="center"/>
          </w:tcPr>
          <w:p>
            <w:pPr>
              <w:pStyle w:val="TableContents"/>
              <w:bidi w:val="0"/>
              <w:spacing w:lineRule="auto" w:line="252" w:before="0" w:after="283"/>
              <w:jc w:val="right"/>
              <w:rPr>
                <w:rFonts w:ascii="Times New Roman;serif" w:hAnsi="Times New Roman;serif"/>
                <w:b w:val="false"/>
                <w:color w:val="000000"/>
                <w:sz w:val="20"/>
              </w:rPr>
            </w:pPr>
            <w:r>
              <w:rPr>
                <w:rFonts w:ascii="Times New Roman;serif" w:hAnsi="Times New Roman;serif"/>
                <w:b w:val="false"/>
                <w:color w:val="000000"/>
                <w:sz w:val="20"/>
              </w:rPr>
              <w:t>509,727</w:t>
            </w:r>
          </w:p>
        </w:tc>
      </w:tr>
      <w:tr>
        <w:trPr/>
        <w:tc>
          <w:tcPr>
            <w:tcW w:w="255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52" w:before="0" w:after="283"/>
              <w:jc w:val="right"/>
              <w:rPr>
                <w:rFonts w:ascii="Times New Roman;serif" w:hAnsi="Times New Roman;serif"/>
                <w:b w:val="false"/>
                <w:color w:val="000000"/>
                <w:sz w:val="20"/>
              </w:rPr>
            </w:pPr>
            <w:r>
              <w:rPr>
                <w:rFonts w:ascii="Times New Roman;serif" w:hAnsi="Times New Roman;serif"/>
                <w:b w:val="false"/>
                <w:color w:val="000000"/>
                <w:sz w:val="20"/>
              </w:rPr>
              <w:t>19,239,562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3"/>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52" w:before="0" w:after="283"/>
              <w:jc w:val="right"/>
              <w:rPr>
                <w:rFonts w:ascii="Times New Roman;serif" w:hAnsi="Times New Roman;serif"/>
                <w:b w:val="false"/>
                <w:color w:val="000000"/>
                <w:sz w:val="20"/>
              </w:rPr>
            </w:pPr>
            <w:r>
              <w:rPr>
                <w:rFonts w:ascii="Times New Roman;serif" w:hAnsi="Times New Roman;serif"/>
                <w:b w:val="false"/>
                <w:color w:val="000000"/>
                <w:sz w:val="20"/>
              </w:rPr>
              <w:t>16,749,781</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83"/>
        <w:jc w:val="left"/>
        <w:rPr>
          <w:rFonts w:ascii="Times New Roman;serif" w:hAnsi="Times New Roman;serif"/>
          <w:b/>
          <w:color w:val="000000"/>
          <w:sz w:val="20"/>
        </w:rPr>
      </w:pPr>
      <w:r>
        <w:rPr>
          <w:rFonts w:ascii="Times New Roman;serif" w:hAnsi="Times New Roman;serif"/>
          <w:b/>
          <w:color w:val="000000"/>
          <w:sz w:val="20"/>
        </w:rPr>
        <w:t>13. Segment Information</w:t>
      </w:r>
    </w:p>
    <w:p>
      <w:pPr>
        <w:pStyle w:val="TextBody"/>
        <w:bidi w:val="0"/>
        <w:spacing w:lineRule="auto" w:line="288" w:before="20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We operate and manage our business as one reportable segment and one operating segment, which is the business of developing allogeneic CAR-T cell therapies. Operating segments are defined as components of an entity about which separate discrete information is available for evaluation by the chief operating decision maker (“CODM”) in deciding how to allocate resources and in assessing performance; the CODM is our president and chief executive officer. Our CODM assesses performance for the segment and decides how to allocate resources based on consolidated net loss that is also reported on our consolidated statements of operations. The measure of segment assets is reported on our consolidated balance sheets as total consolidated assets. All our material long-lived assets are located in the United States. Our CODM uses consolidated net loss to evaluate our spending and monitor our budget versus actual results to assess performance of the segment and to allocate resources across our company. Factors used in determining the reportable segment include the nature of our operating activities, our company’s organizational and reporting structures, and the type of information reviewed by our CODM to allocate resources and evaluate financial performance.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6480175" cy="146685"/>
                <wp:effectExtent l="0" t="0" r="0" b="0"/>
                <wp:wrapNone/>
                <wp:docPr id="17" name="Frame1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15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15</w:t>
                      </w:r>
                    </w:p>
                  </w:txbxContent>
                </v:textbox>
                <w10:wrap type="none"/>
              </v:rect>
            </w:pict>
          </mc:Fallback>
        </mc:AlternateContent>
      </w:r>
    </w:p>
    <w:p>
      <w:pPr>
        <w:pStyle w:val="TextBody"/>
        <w:bidi w:val="0"/>
        <w:spacing w:lineRule="auto" w:line="288" w:before="0" w:after="0"/>
        <w:jc w:val="left"/>
        <w:rPr/>
      </w:pPr>
      <w:hyperlink w:anchor="i7f5619487a1149c59a3dd36fee75a584_7">
        <w:r>
          <w:rPr>
            <w:rStyle w:val="InternetLink"/>
            <w:rFonts w:ascii="Times New Roman;serif" w:hAnsi="Times New Roman;serif"/>
            <w:b w:val="false"/>
            <w:color w:val="0000FF"/>
            <w:sz w:val="20"/>
            <w:u w:val="single"/>
          </w:rPr>
          <w:t>Table of Contents</w:t>
        </w:r>
      </w:hyperlink>
    </w:p>
    <w:p>
      <w:pPr>
        <w:pStyle w:val="TextBody"/>
        <w:bidi w:val="0"/>
        <w:spacing w:lineRule="auto" w:line="288" w:before="20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following table presents reportable segment profit and loss, including significant expense categories, attributable to our reportable segment for the periods indicated:</w:t>
      </w:r>
    </w:p>
    <w:tbl>
      <w:tblPr>
        <w:tblW w:w="6385" w:type="dxa"/>
        <w:jc w:val="left"/>
        <w:tblInd w:w="0" w:type="dxa"/>
        <w:tblLayout w:type="fixed"/>
        <w:tblCellMar>
          <w:top w:w="28" w:type="dxa"/>
          <w:left w:w="28" w:type="dxa"/>
          <w:bottom w:w="28" w:type="dxa"/>
          <w:right w:w="28" w:type="dxa"/>
        </w:tblCellMar>
      </w:tblPr>
      <w:tblGrid>
        <w:gridCol w:w="1212"/>
        <w:gridCol w:w="1063"/>
        <w:gridCol w:w="1070"/>
        <w:gridCol w:w="211"/>
        <w:gridCol w:w="796"/>
        <w:gridCol w:w="109"/>
        <w:gridCol w:w="109"/>
        <w:gridCol w:w="109"/>
        <w:gridCol w:w="109"/>
        <w:gridCol w:w="211"/>
        <w:gridCol w:w="796"/>
        <w:gridCol w:w="109"/>
        <w:gridCol w:w="109"/>
        <w:gridCol w:w="109"/>
        <w:gridCol w:w="109"/>
        <w:gridCol w:w="154"/>
      </w:tblGrid>
      <w:tr>
        <w:trPr/>
        <w:tc>
          <w:tcPr>
            <w:tcW w:w="1212" w:type="dxa"/>
            <w:tcBorders/>
            <w:vAlign w:val="center"/>
          </w:tcPr>
          <w:p>
            <w:pPr>
              <w:pStyle w:val="TableContents"/>
              <w:bidi w:val="0"/>
              <w:spacing w:before="0" w:after="283"/>
              <w:jc w:val="left"/>
              <w:rPr>
                <w:sz w:val="4"/>
                <w:szCs w:val="4"/>
              </w:rPr>
            </w:pPr>
            <w:r>
              <w:rPr>
                <w:sz w:val="4"/>
                <w:szCs w:val="4"/>
              </w:rPr>
            </w:r>
          </w:p>
        </w:tc>
        <w:tc>
          <w:tcPr>
            <w:tcW w:w="1063" w:type="dxa"/>
            <w:tcBorders/>
            <w:vAlign w:val="center"/>
          </w:tcPr>
          <w:p>
            <w:pPr>
              <w:pStyle w:val="TableContents"/>
              <w:bidi w:val="0"/>
              <w:spacing w:before="0" w:after="283"/>
              <w:jc w:val="left"/>
              <w:rPr>
                <w:sz w:val="4"/>
                <w:szCs w:val="4"/>
              </w:rPr>
            </w:pPr>
            <w:r>
              <w:rPr>
                <w:sz w:val="4"/>
                <w:szCs w:val="4"/>
              </w:rPr>
            </w:r>
          </w:p>
        </w:tc>
        <w:tc>
          <w:tcPr>
            <w:tcW w:w="107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3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5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 March 31,</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33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3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Licensing and other third-party revenue</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2,397 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2,353 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34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Less:</w:t>
            </w:r>
          </w:p>
        </w:tc>
        <w:tc>
          <w:tcPr>
            <w:tcW w:w="11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34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Research and development:</w:t>
            </w:r>
          </w:p>
        </w:tc>
        <w:tc>
          <w:tcPr>
            <w:tcW w:w="11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34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External costs</w:t>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10,690 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21,859 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34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Internal costs</w:t>
            </w:r>
            <w:r>
              <w:rPr>
                <w:rFonts w:ascii="Times New Roman;serif" w:hAnsi="Times New Roman;serif"/>
                <w:b w:val="false"/>
                <w:color w:val="000000"/>
                <w:sz w:val="13"/>
              </w:rPr>
              <w:t>(1)</w:t>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8,179 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10,877 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34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Total research and development</w:t>
            </w:r>
          </w:p>
        </w:tc>
        <w:tc>
          <w:tcPr>
            <w:tcW w:w="100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18,869 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32,736 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34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General and administrative</w:t>
            </w:r>
            <w:r>
              <w:rPr>
                <w:rFonts w:ascii="Times New Roman;serif" w:hAnsi="Times New Roman;serif"/>
                <w:b w:val="false"/>
                <w:color w:val="000000"/>
                <w:sz w:val="13"/>
              </w:rPr>
              <w:t>(2)</w:t>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6,802 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7,484 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34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Other segment items</w:t>
            </w:r>
            <w:r>
              <w:rPr>
                <w:rFonts w:ascii="Times New Roman;serif" w:hAnsi="Times New Roman;serif"/>
                <w:b w:val="false"/>
                <w:color w:val="000000"/>
                <w:sz w:val="13"/>
              </w:rPr>
              <w:t>(3)</w:t>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3,006 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4,712 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34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Other income, net</w:t>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(1,195)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(2,588)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34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Segment and consolidated net loss</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(25,085)</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(39,991)</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pPr>
      <w:r>
        <w:rPr>
          <w:rFonts w:ascii="Times New Roman;serif" w:hAnsi="Times New Roman;serif"/>
          <w:b w:val="false"/>
          <w:color w:val="000000"/>
          <w:sz w:val="13"/>
        </w:rPr>
        <w:t>(1)</w:t>
      </w:r>
      <w:r>
        <w:rPr>
          <w:rFonts w:ascii="Times New Roman;serif" w:hAnsi="Times New Roman;serif"/>
          <w:b w:val="false"/>
          <w:color w:val="000000"/>
          <w:sz w:val="20"/>
        </w:rPr>
        <w:t>Research and development internal costs for the three months ended March 31, 2026, and March 31, 2025, exclude $1.1 million and $1.7 million of stock-based compensation expense, respectively, and $0.6 million and $1.1 million of depreciation and amortization expense, respectively.</w:t>
      </w:r>
    </w:p>
    <w:p>
      <w:pPr>
        <w:pStyle w:val="TextBody"/>
        <w:bidi w:val="0"/>
        <w:spacing w:lineRule="auto" w:line="288" w:before="0" w:after="0"/>
        <w:jc w:val="left"/>
        <w:rPr/>
      </w:pPr>
      <w:r>
        <w:rPr>
          <w:rFonts w:ascii="Times New Roman;serif" w:hAnsi="Times New Roman;serif"/>
          <w:b w:val="false"/>
          <w:color w:val="000000"/>
          <w:sz w:val="13"/>
        </w:rPr>
        <w:t>(2)</w:t>
      </w:r>
      <w:r>
        <w:rPr>
          <w:rFonts w:ascii="Times New Roman;serif" w:hAnsi="Times New Roman;serif"/>
          <w:b w:val="false"/>
          <w:color w:val="000000"/>
          <w:sz w:val="20"/>
        </w:rPr>
        <w:t xml:space="preserve">General and administrative expense for the three months ended March 31, 2026, and March 31, 2025, exclude $1.2 million and $2.1 million of stock-based compensation expense, respectively, and less than $0.1 million and $0.1 million of depreciation and amortization expense, respectively. </w:t>
      </w:r>
    </w:p>
    <w:p>
      <w:pPr>
        <w:pStyle w:val="TextBody"/>
        <w:bidi w:val="0"/>
        <w:spacing w:lineRule="auto" w:line="288" w:before="0" w:after="0"/>
        <w:jc w:val="left"/>
        <w:rPr/>
      </w:pPr>
      <w:r>
        <w:rPr>
          <w:rFonts w:ascii="Times New Roman;serif" w:hAnsi="Times New Roman;serif"/>
          <w:b w:val="false"/>
          <w:color w:val="000000"/>
          <w:sz w:val="13"/>
        </w:rPr>
        <w:t>(3)</w:t>
      </w:r>
      <w:r>
        <w:rPr>
          <w:rFonts w:ascii="Times New Roman;serif" w:hAnsi="Times New Roman;serif"/>
          <w:b w:val="false"/>
          <w:color w:val="000000"/>
          <w:sz w:val="20"/>
        </w:rPr>
        <w:t>Other segment items for the three-month periods ended March 31, 2026, and March 31, 2025, include stock-based compensation and depreciation and amortization.</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6480175" cy="146685"/>
                <wp:effectExtent l="0" t="0" r="0" b="0"/>
                <wp:wrapNone/>
                <wp:docPr id="18" name="Frame1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16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16</w:t>
                      </w:r>
                    </w:p>
                  </w:txbxContent>
                </v:textbox>
                <w10:wrap type="none"/>
              </v:rect>
            </w:pict>
          </mc:Fallback>
        </mc:AlternateContent>
      </w:r>
    </w:p>
    <w:p>
      <w:pPr>
        <w:pStyle w:val="TextBody"/>
        <w:bidi w:val="0"/>
        <w:spacing w:lineRule="auto" w:line="288" w:before="0" w:after="0"/>
        <w:jc w:val="left"/>
        <w:rPr/>
      </w:pPr>
      <w:hyperlink w:anchor="i7f5619487a1149c59a3dd36fee75a584_7">
        <w:r>
          <w:rPr>
            <w:rStyle w:val="InternetLink"/>
            <w:rFonts w:ascii="Times New Roman;serif" w:hAnsi="Times New Roman;serif"/>
            <w:b w:val="false"/>
            <w:color w:val="0000FF"/>
            <w:sz w:val="20"/>
            <w:u w:val="single"/>
          </w:rPr>
          <w:t>Table of Contents</w:t>
        </w:r>
      </w:hyperlink>
    </w:p>
    <w:p>
      <w:pPr>
        <w:pStyle w:val="TextBody"/>
        <w:bidi w:val="0"/>
        <w:spacing w:lineRule="auto" w:line="288" w:before="200" w:after="283"/>
        <w:jc w:val="left"/>
        <w:rPr>
          <w:rFonts w:ascii="Times New Roman;serif" w:hAnsi="Times New Roman;serif"/>
          <w:b/>
          <w:color w:val="000000"/>
          <w:sz w:val="20"/>
        </w:rPr>
      </w:pPr>
      <w:r>
        <w:rPr>
          <w:rFonts w:ascii="Times New Roman;serif" w:hAnsi="Times New Roman;serif"/>
          <w:b/>
          <w:color w:val="000000"/>
          <w:sz w:val="20"/>
        </w:rPr>
        <w:t>Item 2. Management’s Discussion and Analysis of Financial Condition and Results of Operations.</w:t>
      </w:r>
    </w:p>
    <w:p>
      <w:pPr>
        <w:pStyle w:val="TextBody"/>
        <w:bidi w:val="0"/>
        <w:spacing w:lineRule="auto" w:line="288" w:before="200" w:after="283"/>
        <w:ind w:left="0" w:right="0" w:firstLine="720"/>
        <w:jc w:val="left"/>
        <w:rPr>
          <w:rFonts w:ascii="Times New Roman;serif" w:hAnsi="Times New Roman;serif"/>
          <w:b w:val="false"/>
          <w:i/>
          <w:color w:val="000000"/>
          <w:sz w:val="20"/>
        </w:rPr>
      </w:pPr>
      <w:r>
        <w:rPr>
          <w:rFonts w:ascii="Times New Roman;serif" w:hAnsi="Times New Roman;serif"/>
          <w:b w:val="false"/>
          <w:i/>
          <w:color w:val="000000"/>
          <w:sz w:val="20"/>
        </w:rPr>
        <w:t>You should read the following discussion and analysis of our financial condition and results of operations together with our unaudited condensed consolidated financial statements and the related notes included in Part I, Item 1, of this Quarterly Report on Form 10-Q for the fiscal quarter ended March 31, 2026 (“Form 10-Q”) and with the audited consolidated financial statements and the related notes for the fiscal year ended December 31, 2025, included in our Annual Report on Form 10-K (“Form 10-K”) filed with the U.S. Securities and Exchange Commission (“SEC”) on March 5, 2026.</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83"/>
        <w:jc w:val="left"/>
        <w:rPr>
          <w:rFonts w:ascii="Times New Roman;serif" w:hAnsi="Times New Roman;serif"/>
          <w:b/>
          <w:color w:val="000000"/>
          <w:sz w:val="20"/>
        </w:rPr>
      </w:pPr>
      <w:r>
        <w:rPr>
          <w:rFonts w:ascii="Times New Roman;serif" w:hAnsi="Times New Roman;serif"/>
          <w:b/>
          <w:color w:val="000000"/>
          <w:sz w:val="20"/>
        </w:rPr>
        <w:t>Special Note Regarding Forward-Looking Statements</w:t>
      </w:r>
    </w:p>
    <w:p>
      <w:pPr>
        <w:pStyle w:val="TextBody"/>
        <w:bidi w:val="0"/>
        <w:spacing w:lineRule="auto" w:line="288" w:before="20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This Form 10-Q contains “forward-looking” statements within the meaning of Section 27A of the Securities Act of 1933, as amended (“Securities Act”), and Section 21E of the Securities Exchange Act of 1934, as amended (“Exchange Act”). All statements, other than statements of historical facts, contained in this Form 10-Q are forward-looking statements, including statements regarding our business strategy, plans, and objectives; expectations regarding our clinical-stage CAR-T cell therapy product candidates, including our expectations about the development timelines for such product candidates; the expected timing of disclosure of clinical data; expectations regarding the safety, efficacy, and potential advantages of our CAR-T cell therapy product candidates; expectations about our future regulatory filings and interactions with regulatory authorities, including expectations about our phase 3 pivotal trial design for vispa-cel; our results of operations and financial position; plans and objectives of management for future operations; and the like. In some cases, you can identify forward-looking statements by terms such as “may,” “will,” “should,” “expect,” “plan,” “anticipate,” “could,” “intend,” “target,” “project,” “contemplate,” “believe,” “estimate,” “predict,” “potential,” or “continue” or the negative of these terms or other similar expressions, although not all forward-looking statements contain these words.</w:t>
      </w:r>
    </w:p>
    <w:p>
      <w:pPr>
        <w:pStyle w:val="TextBody"/>
        <w:bidi w:val="0"/>
        <w:spacing w:lineRule="auto" w:line="288" w:before="20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As a result of many factors, including but not limited to the risks described in the section of our Form 10-K titled “Risk Factors,” in the section entitled “Risk Factors” in this Form 10-Q, and in other filings we make with the SEC, the events and circumstances reflected in our forward-looking statements may not be achieved or may not occur, and actual results could differ materially from those described in or implied by the forward-looking statements. As a result of these risks, you should not place undue reliance on these forward-looking statements. We assume no obligation to revise or update any forward-looking statements for any reason, except as required by law.</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83"/>
        <w:jc w:val="left"/>
        <w:rPr>
          <w:rFonts w:ascii="Times New Roman;serif" w:hAnsi="Times New Roman;serif"/>
          <w:b/>
          <w:color w:val="000000"/>
          <w:sz w:val="20"/>
        </w:rPr>
      </w:pPr>
      <w:r>
        <w:rPr>
          <w:rFonts w:ascii="Times New Roman;serif" w:hAnsi="Times New Roman;serif"/>
          <w:b/>
          <w:color w:val="000000"/>
          <w:sz w:val="20"/>
        </w:rPr>
        <w:t>Overview</w:t>
      </w:r>
    </w:p>
    <w:p>
      <w:pPr>
        <w:pStyle w:val="TextBody"/>
        <w:bidi w:val="0"/>
        <w:spacing w:lineRule="auto" w:line="288" w:before="200" w:after="283"/>
        <w:ind w:left="0" w:right="0" w:firstLine="720"/>
        <w:jc w:val="left"/>
        <w:rPr/>
      </w:pPr>
      <w:r>
        <w:rPr>
          <w:rFonts w:ascii="Times New Roman;serif" w:hAnsi="Times New Roman;serif"/>
          <w:b w:val="false"/>
          <w:color w:val="000000"/>
          <w:sz w:val="20"/>
        </w:rPr>
        <w:t xml:space="preserve">We are a clinical-stage </w:t>
      </w:r>
      <w:r>
        <w:rPr>
          <w:rFonts w:ascii="Times New Roman;serif" w:hAnsi="Times New Roman;serif"/>
          <w:b/>
          <w:color w:val="000000"/>
          <w:sz w:val="20"/>
        </w:rPr>
        <w:t>C</w:t>
      </w:r>
      <w:r>
        <w:rPr>
          <w:rFonts w:ascii="Times New Roman;serif" w:hAnsi="Times New Roman;serif"/>
          <w:b w:val="false"/>
          <w:color w:val="000000"/>
          <w:sz w:val="20"/>
        </w:rPr>
        <w:t xml:space="preserve">lustered </w:t>
      </w:r>
      <w:r>
        <w:rPr>
          <w:rFonts w:ascii="Times New Roman;serif" w:hAnsi="Times New Roman;serif"/>
          <w:b/>
          <w:color w:val="000000"/>
          <w:sz w:val="20"/>
        </w:rPr>
        <w:t>R</w:t>
      </w:r>
      <w:r>
        <w:rPr>
          <w:rFonts w:ascii="Times New Roman;serif" w:hAnsi="Times New Roman;serif"/>
          <w:b w:val="false"/>
          <w:color w:val="000000"/>
          <w:sz w:val="20"/>
        </w:rPr>
        <w:t xml:space="preserve">egularly </w:t>
      </w:r>
      <w:r>
        <w:rPr>
          <w:rFonts w:ascii="Times New Roman;serif" w:hAnsi="Times New Roman;serif"/>
          <w:b/>
          <w:color w:val="000000"/>
          <w:sz w:val="20"/>
        </w:rPr>
        <w:t>I</w:t>
      </w:r>
      <w:r>
        <w:rPr>
          <w:rFonts w:ascii="Times New Roman;serif" w:hAnsi="Times New Roman;serif"/>
          <w:b w:val="false"/>
          <w:color w:val="000000"/>
          <w:sz w:val="20"/>
        </w:rPr>
        <w:t xml:space="preserve">nterspaced </w:t>
      </w:r>
      <w:r>
        <w:rPr>
          <w:rFonts w:ascii="Times New Roman;serif" w:hAnsi="Times New Roman;serif"/>
          <w:b/>
          <w:color w:val="000000"/>
          <w:sz w:val="20"/>
        </w:rPr>
        <w:t>S</w:t>
      </w:r>
      <w:r>
        <w:rPr>
          <w:rFonts w:ascii="Times New Roman;serif" w:hAnsi="Times New Roman;serif"/>
          <w:b w:val="false"/>
          <w:color w:val="000000"/>
          <w:sz w:val="20"/>
        </w:rPr>
        <w:t xml:space="preserve">hort </w:t>
      </w:r>
      <w:r>
        <w:rPr>
          <w:rFonts w:ascii="Times New Roman;serif" w:hAnsi="Times New Roman;serif"/>
          <w:b/>
          <w:color w:val="000000"/>
          <w:sz w:val="20"/>
        </w:rPr>
        <w:t>P</w:t>
      </w:r>
      <w:r>
        <w:rPr>
          <w:rFonts w:ascii="Times New Roman;serif" w:hAnsi="Times New Roman;serif"/>
          <w:b w:val="false"/>
          <w:color w:val="000000"/>
          <w:sz w:val="20"/>
        </w:rPr>
        <w:t xml:space="preserve">alindromic </w:t>
      </w:r>
      <w:r>
        <w:rPr>
          <w:rFonts w:ascii="Times New Roman;serif" w:hAnsi="Times New Roman;serif"/>
          <w:b/>
          <w:color w:val="000000"/>
          <w:sz w:val="20"/>
        </w:rPr>
        <w:t>R</w:t>
      </w:r>
      <w:r>
        <w:rPr>
          <w:rFonts w:ascii="Times New Roman;serif" w:hAnsi="Times New Roman;serif"/>
          <w:b w:val="false"/>
          <w:color w:val="000000"/>
          <w:sz w:val="20"/>
        </w:rPr>
        <w:t>epeats (“CRISPR”) genome-editing biopharmaceutical company dedicated to developing transformative therapies for patients with devastating diseases. Our genome-editing platform is based on our novel chRDNA (</w:t>
      </w:r>
      <w:r>
        <w:rPr>
          <w:rFonts w:ascii="Times New Roman;serif" w:hAnsi="Times New Roman;serif"/>
          <w:b/>
          <w:color w:val="000000"/>
          <w:sz w:val="20"/>
          <w:u w:val="single"/>
        </w:rPr>
        <w:t>C</w:t>
      </w:r>
      <w:r>
        <w:rPr>
          <w:rFonts w:ascii="Times New Roman;serif" w:hAnsi="Times New Roman;serif"/>
          <w:b w:val="false"/>
          <w:color w:val="000000"/>
          <w:sz w:val="20"/>
        </w:rPr>
        <w:t xml:space="preserve">RISPR </w:t>
      </w:r>
      <w:r>
        <w:rPr>
          <w:rFonts w:ascii="Times New Roman;serif" w:hAnsi="Times New Roman;serif"/>
          <w:b/>
          <w:color w:val="000000"/>
          <w:sz w:val="20"/>
          <w:u w:val="single"/>
        </w:rPr>
        <w:t>h</w:t>
      </w:r>
      <w:r>
        <w:rPr>
          <w:rFonts w:ascii="Times New Roman;serif" w:hAnsi="Times New Roman;serif"/>
          <w:b w:val="false"/>
          <w:color w:val="000000"/>
          <w:sz w:val="20"/>
        </w:rPr>
        <w:t xml:space="preserve">ybrid </w:t>
      </w:r>
      <w:r>
        <w:rPr>
          <w:rFonts w:ascii="Times New Roman;serif" w:hAnsi="Times New Roman;serif"/>
          <w:b/>
          <w:color w:val="000000"/>
          <w:sz w:val="20"/>
          <w:u w:val="single"/>
        </w:rPr>
        <w:t>R</w:t>
      </w:r>
      <w:r>
        <w:rPr>
          <w:rFonts w:ascii="Times New Roman;serif" w:hAnsi="Times New Roman;serif"/>
          <w:b w:val="false"/>
          <w:color w:val="000000"/>
          <w:sz w:val="20"/>
        </w:rPr>
        <w:t>NA-</w:t>
      </w:r>
      <w:r>
        <w:rPr>
          <w:rFonts w:ascii="Times New Roman;serif" w:hAnsi="Times New Roman;serif"/>
          <w:b/>
          <w:color w:val="000000"/>
          <w:sz w:val="20"/>
          <w:u w:val="single"/>
        </w:rPr>
        <w:t>DNA</w:t>
      </w:r>
      <w:r>
        <w:rPr>
          <w:rFonts w:ascii="Times New Roman;serif" w:hAnsi="Times New Roman;serif"/>
          <w:b w:val="false"/>
          <w:color w:val="000000"/>
          <w:sz w:val="20"/>
        </w:rPr>
        <w:t>, pronounced “chardonnay”) technology, which enables more precise genome editing of allogeneic cell therapies. Our allogeneic, or off-the-shelf, chimeric antigen receptor (“CAR”)-T (“CAR-T”) cell therapy product candidates are manufactured in advance with cells from healthy donors, with the goal of enabling broad patient access, rapid patient treatment, and increased manufacturing scale. Our allogeneic CAR-T cell therapy product candidates in clinical development are directed at established cell surface targets against which autologous CAR-T cell therapeutics have already demonstrated clinical proof of concept, CD19 and B cell maturation antigen (“BCMA”). We use our chRDNA technologies to armor our allogeneic CAR-T cell therapies through multiple genome-editing strategies, such as checkpoint disruption and immune cloaking, to enhance activity against hematologic malignancies.</w:t>
      </w:r>
    </w:p>
    <w:p>
      <w:pPr>
        <w:pStyle w:val="TextBody"/>
        <w:bidi w:val="0"/>
        <w:spacing w:lineRule="auto" w:line="288" w:before="20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We are advancing two clinical-stage allogeneic CAR-T cell therapies for the treatment of patients with hematologic malignancies:</w:t>
      </w:r>
    </w:p>
    <w:p>
      <w:pPr>
        <w:pStyle w:val="TextBody"/>
        <w:bidi w:val="0"/>
        <w:spacing w:lineRule="auto" w:line="288" w:before="200" w:after="283"/>
        <w:ind w:left="0" w:right="0" w:hanging="360"/>
        <w:jc w:val="left"/>
        <w:rPr/>
      </w:pPr>
      <w:r>
        <w:rPr>
          <w:color w:val="000000"/>
        </w:rPr>
        <w:t>•</w:t>
      </w:r>
      <w:r>
        <w:rPr>
          <w:rFonts w:ascii="Times New Roman;serif" w:hAnsi="Times New Roman;serif"/>
          <w:b w:val="false"/>
          <w:color w:val="000000"/>
          <w:sz w:val="20"/>
        </w:rPr>
        <w:t>Vispacabtagene regedleucel (“vispa-cel,” formerly CB-010): an allogeneic anti-CD19 CAR-T cell therapy that has been evaluated in patients with relapsed or refractory B cell non-Hodgkin lymphoma (“r/r B-NHL”) in our ANTLER phase 1 clinical trial</w:t>
      </w:r>
    </w:p>
    <w:p>
      <w:pPr>
        <w:pStyle w:val="TextBody"/>
        <w:bidi w:val="0"/>
        <w:spacing w:lineRule="auto" w:line="288" w:before="200" w:after="283"/>
        <w:ind w:left="0" w:right="0" w:hanging="360"/>
        <w:jc w:val="left"/>
        <w:rPr/>
      </w:pPr>
      <w:r>
        <w:rPr>
          <w:color w:val="000000"/>
        </w:rPr>
        <w:t>•</w:t>
      </w:r>
      <w:r>
        <w:rPr>
          <w:rFonts w:ascii="Times New Roman;serif" w:hAnsi="Times New Roman;serif"/>
          <w:b w:val="false"/>
          <w:color w:val="000000"/>
          <w:sz w:val="20"/>
        </w:rPr>
        <w:t>CB-011: an allogeneic anti-BCMA CAR-T cell therapy that is being evaluated in patients with relapsed or refractory multiple myeloma (“r/r MM”) in our CaMMouflage phase 1 clinical trial</w:t>
      </w:r>
    </w:p>
    <w:p>
      <w:pPr>
        <w:pStyle w:val="TextBody"/>
        <w:bidi w:val="0"/>
        <w:spacing w:lineRule="auto" w:line="288" w:before="20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Vispa-cel has received regenerative medicine advanced therapy (“RMAT”) designation for relapsed or refractory large B cell lymphoma (“r/r LBCL”), fast track designation for r/r B-NHL, and orphan drug designation for follicular lymphoma (“FL”) from the U.S. Food and Drug Administration (“FDA”). CB-011 has received RMAT, fast track, and orphan drug designations for r/r MM from the FDA.</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6480175" cy="146685"/>
                <wp:effectExtent l="0" t="0" r="0" b="0"/>
                <wp:wrapNone/>
                <wp:docPr id="19" name="Frame1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17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17</w:t>
                      </w:r>
                    </w:p>
                  </w:txbxContent>
                </v:textbox>
                <w10:wrap type="none"/>
              </v:rect>
            </w:pict>
          </mc:Fallback>
        </mc:AlternateContent>
      </w:r>
    </w:p>
    <w:p>
      <w:pPr>
        <w:pStyle w:val="TextBody"/>
        <w:bidi w:val="0"/>
        <w:spacing w:lineRule="auto" w:line="288" w:before="0" w:after="0"/>
        <w:jc w:val="left"/>
        <w:rPr/>
      </w:pPr>
      <w:hyperlink w:anchor="i7f5619487a1149c59a3dd36fee75a584_7">
        <w:r>
          <w:rPr>
            <w:rStyle w:val="InternetLink"/>
            <w:rFonts w:ascii="Times New Roman;serif" w:hAnsi="Times New Roman;serif"/>
            <w:b w:val="false"/>
            <w:color w:val="0000FF"/>
            <w:sz w:val="20"/>
            <w:u w:val="single"/>
          </w:rPr>
          <w:t>Table of Contents</w:t>
        </w:r>
      </w:hyperlink>
    </w:p>
    <w:p>
      <w:pPr>
        <w:pStyle w:val="TextBody"/>
        <w:bidi w:val="0"/>
        <w:spacing w:lineRule="auto" w:line="288" w:before="200" w:after="283"/>
        <w:ind w:left="0" w:right="0" w:firstLine="720"/>
        <w:jc w:val="left"/>
        <w:rPr/>
      </w:pPr>
      <w:r>
        <w:rPr>
          <w:rFonts w:ascii="Times New Roman;serif" w:hAnsi="Times New Roman;serif"/>
          <w:b w:val="false"/>
          <w:color w:val="000000"/>
          <w:sz w:val="20"/>
        </w:rPr>
        <w:t>To our knowledge, vispa-cel is the first clinical-stage allogeneic CAR-T cell therapy with a genome-edited knockout of the PDCD1 gene to prevent PD-1 expression on the CAR-T cell surface. On November 3, 2025, we announced that, as of the September 2, 2025, safety data cutoff date, 84 patients with r/r B-NHL had been enrolled in the ANTLER phase 1 clinical trial. We selected a single dose of 80x10⁶ viable CAR-T cells following lymphodepletion (“LD”) with 60 mg/kg/day for two days of cyclophosphamide and 25 mg/m</w:t>
      </w:r>
      <w:r>
        <w:rPr>
          <w:rFonts w:ascii="Times New Roman;serif" w:hAnsi="Times New Roman;serif"/>
          <w:b w:val="false"/>
          <w:color w:val="000000"/>
          <w:sz w:val="13"/>
        </w:rPr>
        <w:t>2</w:t>
      </w:r>
      <w:r>
        <w:rPr>
          <w:rFonts w:ascii="Times New Roman;serif" w:hAnsi="Times New Roman;serif"/>
          <w:b w:val="false"/>
          <w:color w:val="000000"/>
          <w:sz w:val="20"/>
        </w:rPr>
        <w:t xml:space="preserve">/day for five days of fludarabine as the recommend phase 2 dose (“RP2D”). </w:t>
      </w:r>
    </w:p>
    <w:p>
      <w:pPr>
        <w:pStyle w:val="TextBody"/>
        <w:bidi w:val="0"/>
        <w:spacing w:lineRule="auto" w:line="288" w:before="20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By leveraging our allogeneic CAR-T cell therapy clinical data set of more than 140 patients dosed across multiple clinical trials, we identified key factors that we believe are linked to successful patient outcomes, and we have incorporated these learnings to develop an optimized vispa-cel profile. Two of the key attributes of the optimized vispa-cel profile are donor age (young donors drive enhanced outcomes relative to older donors) and partial human leukocyte antigen (“HLA”) matching (matching two or more alleles correlates with enhanced patient outcomes). As of the September 2, 2025, 84 patients had been treated in our ANTLER phase 1 clinical trial, of which 35 CD19-naïve LBCL patients received vispa-cel with the optimized profile. As of the September 29, 2025 efficacy data cutoff, the results for the 35-patient optimized profile cohort included an 86% overall response rate (“ORR”), a 63% complete response (“CR”) rate, and 53% progression-free survival (“PFS”) at 12 months. Median follow up for the optimized profile cohort was 11.8 months. </w:t>
      </w:r>
    </w:p>
    <w:p>
      <w:pPr>
        <w:pStyle w:val="TextBody"/>
        <w:bidi w:val="0"/>
        <w:spacing w:lineRule="auto" w:line="288" w:before="20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Vispa-cel is generally well tolerated. As of the September 2, 2025, safety data cutoff date, treatment emergent adverse events (“TEAEs”) at any grade in 25% or greater of all 84 patients who had received vispa-cel were thrombocytopenia (62%), cytokine release syndrome (“CRS”) (55%), anemia (52%), neutropenia (39%), hypokalemia (26%), and leukopenia (26%). In the optimized profile cohort (N=35), there were no cases of graft versus host disease (“GvHD”) or grade 3 or greater immune effector cell-associated neurotoxicity syndrome (“ICANS”), 1% of patients experienced grade 3 or greater CRS, and 28% (out of 80 patients) experienced prolonged cytopenias.</w:t>
      </w:r>
    </w:p>
    <w:p>
      <w:pPr>
        <w:pStyle w:val="TextBody"/>
        <w:bidi w:val="0"/>
        <w:spacing w:lineRule="auto" w:line="288" w:before="20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We reached alignment with the FDA regarding our vispa-cel pivotal phase 3 clinical trial design following interactions to date with the agency enabled by the RMAT designation for vispa-cel.We plan to evaluate vispa-cel in the ANTLER-3 trial, a randomized, controlled pivotal phase 3 clinical trial in approximately 250 2L LBCL CD19-naïve patients who are not eligible for transplant and who are not candidates for, or who are not eligible for, autologous CAR-T cell therapy based on access challenges or medical criteria, including the need for urgent therapy. Patients randomized to the study arm would receive a single dose of vispa-cel at the RP2D following LD and patients randomized to the comparator arm would be treated with the investigator’s choice of standard-of-care regimen, such as polatuzumab vedotin (“Pola”), bendamustine, rituximab (”R”)(“Pola-BR”); R, gemcitabine, and oxaliplatin (“R-GemOx”); Pola-R-GemOx (“Pola-RGO”); or tafasitamab and lenalidomide, with crossover to the vispa-cel arm permitted after progressive disease. The primary endpoint would be PFS. Secondary endpoints would be ORR, overall survival (“OS”), event-free survival (“EFS”), duration of response (“DoR”), duration of CR, quality of life (“QoL”), and safety. Clinical trial sites would include both academic and sophisticated community centers in the United States and globally. </w:t>
      </w:r>
    </w:p>
    <w:p>
      <w:pPr>
        <w:pStyle w:val="TextBody"/>
        <w:bidi w:val="0"/>
        <w:spacing w:lineRule="auto" w:line="288" w:before="200" w:after="283"/>
        <w:ind w:left="0" w:right="0" w:firstLine="720"/>
        <w:jc w:val="left"/>
        <w:rPr/>
      </w:pPr>
      <w:r>
        <w:rPr>
          <w:rFonts w:ascii="Times New Roman;serif" w:hAnsi="Times New Roman;serif"/>
          <w:b w:val="false"/>
          <w:color w:val="000000"/>
          <w:sz w:val="20"/>
        </w:rPr>
        <w:t>To our knowledge, CB-011 is the first allogeneic CAR-T cell therapy incorporating an immune cloaking approach that includes both the removal of the endogenous beta-2 microglobulin (“B2M”) protein and insertion of a beta-2-microglobulin–human-leukocyte-antigen-E–peptide transgene (“B2M–HLA-E”). On November 3, 2025, we announced results from the dose escalation portion of our ongoing CaMMouflage phase 1 trial evaluating CB-011 in r/r MM patients. Forty-eight fourth-line or later (“4L+”) patients were enrolled in the dose escalation portion of the trial; enrollment in dose escalation is completed. Patients had been treated with three or more prior lines of therapy including a proteasome inhibitor, an immunomodulatory drug, and an anti-CD38 antibody. Prior treatment with an autologous CAR-T cell therapy was not permitted and no BCMA-targeted therapy was permitted within the prior three months. We evaluated two different LD regimens and multiple CAR-T cell dose levels. Thirty-five patients were treated with an LD regimen of 500 mg/m</w:t>
      </w:r>
      <w:r>
        <w:rPr>
          <w:rFonts w:ascii="Times New Roman;serif" w:hAnsi="Times New Roman;serif"/>
          <w:b w:val="false"/>
          <w:color w:val="000000"/>
          <w:sz w:val="13"/>
        </w:rPr>
        <w:t xml:space="preserve">2 </w:t>
      </w:r>
      <w:r>
        <w:rPr>
          <w:rFonts w:ascii="Times New Roman;serif" w:hAnsi="Times New Roman;serif"/>
          <w:b w:val="false"/>
          <w:color w:val="000000"/>
          <w:sz w:val="20"/>
        </w:rPr>
        <w:t>cyclophosphamide and 30 mg/m</w:t>
      </w:r>
      <w:r>
        <w:rPr>
          <w:rFonts w:ascii="Times New Roman;serif" w:hAnsi="Times New Roman;serif"/>
          <w:b w:val="false"/>
          <w:color w:val="000000"/>
          <w:sz w:val="13"/>
        </w:rPr>
        <w:t>2</w:t>
      </w:r>
      <w:r>
        <w:rPr>
          <w:color w:val="000000"/>
        </w:rPr>
        <w:t xml:space="preserve"> </w:t>
      </w:r>
      <w:r>
        <w:rPr>
          <w:rFonts w:ascii="Times New Roman;serif" w:hAnsi="Times New Roman;serif"/>
          <w:b w:val="false"/>
          <w:color w:val="000000"/>
          <w:sz w:val="20"/>
        </w:rPr>
        <w:t>fludarabine daily for three days (“the selected LD regimen”). A single dose of CB-011 preceded by the selected LD regimen resulted in responses at all dose levels evaluated (150x10</w:t>
      </w:r>
      <w:r>
        <w:rPr>
          <w:rFonts w:ascii="Times New Roman;serif" w:hAnsi="Times New Roman;serif"/>
          <w:b w:val="false"/>
          <w:color w:val="000000"/>
          <w:sz w:val="13"/>
        </w:rPr>
        <w:t>6</w:t>
      </w:r>
      <w:r>
        <w:rPr>
          <w:color w:val="000000"/>
        </w:rPr>
        <w:t xml:space="preserve"> </w:t>
      </w:r>
      <w:r>
        <w:rPr>
          <w:rFonts w:ascii="Times New Roman;serif" w:hAnsi="Times New Roman;serif"/>
          <w:b w:val="false"/>
          <w:color w:val="000000"/>
          <w:sz w:val="20"/>
        </w:rPr>
        <w:t>viable CAR-T cells, N=6; 300x10</w:t>
      </w:r>
      <w:r>
        <w:rPr>
          <w:rFonts w:ascii="Times New Roman;serif" w:hAnsi="Times New Roman;serif"/>
          <w:b w:val="false"/>
          <w:color w:val="000000"/>
          <w:sz w:val="13"/>
        </w:rPr>
        <w:t xml:space="preserve">6 </w:t>
      </w:r>
      <w:r>
        <w:rPr>
          <w:rFonts w:ascii="Times New Roman;serif" w:hAnsi="Times New Roman;serif"/>
          <w:b w:val="false"/>
          <w:color w:val="000000"/>
          <w:sz w:val="20"/>
        </w:rPr>
        <w:t>viable CAR-T cells, N=13; 450x10</w:t>
      </w:r>
      <w:r>
        <w:rPr>
          <w:rFonts w:ascii="Times New Roman;serif" w:hAnsi="Times New Roman;serif"/>
          <w:b w:val="false"/>
          <w:color w:val="000000"/>
          <w:sz w:val="13"/>
        </w:rPr>
        <w:t>6</w:t>
      </w:r>
      <w:r>
        <w:rPr>
          <w:color w:val="000000"/>
        </w:rPr>
        <w:t xml:space="preserve"> </w:t>
      </w:r>
      <w:r>
        <w:rPr>
          <w:rFonts w:ascii="Times New Roman;serif" w:hAnsi="Times New Roman;serif"/>
          <w:b w:val="false"/>
          <w:color w:val="000000"/>
          <w:sz w:val="20"/>
        </w:rPr>
        <w:t>viable CAR-T cells, N=13; and 800x10</w:t>
      </w:r>
      <w:r>
        <w:rPr>
          <w:rFonts w:ascii="Times New Roman;serif" w:hAnsi="Times New Roman;serif"/>
          <w:b w:val="false"/>
          <w:color w:val="000000"/>
          <w:sz w:val="13"/>
        </w:rPr>
        <w:t>6</w:t>
      </w:r>
      <w:r>
        <w:rPr>
          <w:color w:val="000000"/>
        </w:rPr>
        <w:t xml:space="preserve"> </w:t>
      </w:r>
      <w:r>
        <w:rPr>
          <w:rFonts w:ascii="Times New Roman;serif" w:hAnsi="Times New Roman;serif"/>
          <w:b w:val="false"/>
          <w:color w:val="000000"/>
          <w:sz w:val="20"/>
        </w:rPr>
        <w:t xml:space="preserve">viable CAR-T cells, N=3). </w:t>
      </w:r>
    </w:p>
    <w:p>
      <w:pPr>
        <w:pStyle w:val="TextBody"/>
        <w:bidi w:val="0"/>
        <w:spacing w:lineRule="auto" w:line="288" w:before="200" w:after="283"/>
        <w:ind w:left="0" w:right="0" w:firstLine="720"/>
        <w:jc w:val="left"/>
        <w:rPr/>
      </w:pPr>
      <w:r>
        <w:rPr>
          <w:rFonts w:ascii="Times New Roman;serif" w:hAnsi="Times New Roman;serif"/>
          <w:b w:val="false"/>
          <w:color w:val="000000"/>
          <w:sz w:val="20"/>
        </w:rPr>
        <w:t>CB-011 had a manageable safety profile across all dose levels and LD regimens (N=48), with no cases of GvHD, immune effector cell-associated enterocolitis (“IEC-EC”), parkinsonism, or cranial nerve palsies as of the September 24, 2025 data cutoff date. TEAEs in 25% or greater of all patients treated with CB-011 following the selected LD regimen (N=35) were as follows: neutropenia (80%), anemia (60%), thrombocytopenia (49%), infections (49%), dizziness (31%), CRS (31%), fatigue (31%), leukopenia (29%), decreased appetite (29%), constipation (26%), and pyrexia (26%). Notable adverse events in the recommend dose for expansion (“RDE”) cohort as of the data cutoff date included one CB-011-related grade 5 immune effector cell-associated hematotoxicity (“ICAHT”) on day 90, one grade 5 pneumonia not related to CB-011 on day 50, and one grade 4 CB-011-related Guillain-Barré Syndrome on day 129, which is resolving. In the cohort evaluating the 300x10</w:t>
      </w:r>
      <w:r>
        <w:rPr>
          <w:rFonts w:ascii="Times New Roman;serif" w:hAnsi="Times New Roman;serif"/>
          <w:b w:val="false"/>
          <w:color w:val="000000"/>
          <w:sz w:val="13"/>
        </w:rPr>
        <w:t>6</w:t>
      </w:r>
      <w:r>
        <w:rPr>
          <w:color w:val="000000"/>
        </w:rPr>
        <w:t xml:space="preserve"> </w:t>
      </w:r>
      <w:r>
        <w:rPr>
          <w:rFonts w:ascii="Times New Roman;serif" w:hAnsi="Times New Roman;serif"/>
          <w:b w:val="false"/>
          <w:color w:val="000000"/>
          <w:sz w:val="20"/>
        </w:rPr>
        <w:t xml:space="preserve">viable CAR-T cell dose level following the selected LD regimen, there was one grade 5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1">
                <wp:simplePos x="0" y="0"/>
                <wp:positionH relativeFrom="character">
                  <wp:align>left</wp:align>
                </wp:positionH>
                <wp:positionV relativeFrom="line">
                  <wp:posOffset>635</wp:posOffset>
                </wp:positionV>
                <wp:extent cx="6480175" cy="146685"/>
                <wp:effectExtent l="0" t="0" r="0" b="0"/>
                <wp:wrapNone/>
                <wp:docPr id="20" name="Frame2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18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18</w:t>
                      </w:r>
                    </w:p>
                  </w:txbxContent>
                </v:textbox>
                <w10:wrap type="none"/>
              </v:rect>
            </w:pict>
          </mc:Fallback>
        </mc:AlternateContent>
      </w:r>
    </w:p>
    <w:p>
      <w:pPr>
        <w:pStyle w:val="TextBody"/>
        <w:bidi w:val="0"/>
        <w:spacing w:lineRule="auto" w:line="288" w:before="0" w:after="0"/>
        <w:jc w:val="left"/>
        <w:rPr/>
      </w:pPr>
      <w:hyperlink w:anchor="i7f5619487a1149c59a3dd36fee75a584_7">
        <w:r>
          <w:rPr>
            <w:rStyle w:val="InternetLink"/>
            <w:rFonts w:ascii="Times New Roman;serif" w:hAnsi="Times New Roman;serif"/>
            <w:b w:val="false"/>
            <w:color w:val="0000FF"/>
            <w:sz w:val="20"/>
            <w:u w:val="single"/>
          </w:rPr>
          <w:t>Table of Contents</w:t>
        </w:r>
      </w:hyperlink>
    </w:p>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respiratory syncytial virus not related to CB-011 on day 73. Prophylactic measures for cytopenias and infections and early intervention for certain immune effector cell disorders have been successfully implemented in our clinical protocol.</w:t>
      </w:r>
    </w:p>
    <w:p>
      <w:pPr>
        <w:pStyle w:val="TextBody"/>
        <w:bidi w:val="0"/>
        <w:spacing w:lineRule="auto" w:line="288" w:before="200" w:after="283"/>
        <w:ind w:left="0" w:right="0" w:firstLine="720"/>
        <w:jc w:val="left"/>
        <w:rPr/>
      </w:pPr>
      <w:r>
        <w:rPr>
          <w:rFonts w:ascii="Times New Roman;serif" w:hAnsi="Times New Roman;serif"/>
          <w:b w:val="false"/>
          <w:color w:val="000000"/>
          <w:sz w:val="20"/>
        </w:rPr>
        <w:t>We also announced on November 3, 2025, that we have selected the 450x10</w:t>
      </w:r>
      <w:r>
        <w:rPr>
          <w:rFonts w:ascii="Times New Roman;serif" w:hAnsi="Times New Roman;serif"/>
          <w:b w:val="false"/>
          <w:color w:val="000000"/>
          <w:sz w:val="13"/>
        </w:rPr>
        <w:t>6</w:t>
      </w:r>
      <w:r>
        <w:rPr>
          <w:color w:val="000000"/>
        </w:rPr>
        <w:t xml:space="preserve"> </w:t>
      </w:r>
      <w:r>
        <w:rPr>
          <w:rFonts w:ascii="Times New Roman;serif" w:hAnsi="Times New Roman;serif"/>
          <w:b w:val="false"/>
          <w:color w:val="000000"/>
          <w:sz w:val="20"/>
        </w:rPr>
        <w:t>viable CAR-T cell dose with the selected LD regimen as our RDE. As of the September 24, 2025, data cutoff date, the 12-patient, BCMA-naïve cohort treated with the selected LD regimen and a single dose of 450x10</w:t>
      </w:r>
      <w:r>
        <w:rPr>
          <w:rFonts w:ascii="Times New Roman;serif" w:hAnsi="Times New Roman;serif"/>
          <w:b w:val="false"/>
          <w:color w:val="000000"/>
          <w:sz w:val="13"/>
        </w:rPr>
        <w:t xml:space="preserve">6 </w:t>
      </w:r>
      <w:r>
        <w:rPr>
          <w:rFonts w:ascii="Times New Roman;serif" w:hAnsi="Times New Roman;serif"/>
          <w:b w:val="false"/>
          <w:color w:val="000000"/>
          <w:sz w:val="20"/>
        </w:rPr>
        <w:t>viable CAR-T cells had the following outcomes: an ORR of 92%, a CR/stringent CR (“sCR”) rate of 75%, and 91% of evaluable patients achieved minimal residual disease (“MRD”) negativity (≤10</w:t>
      </w:r>
      <w:r>
        <w:rPr>
          <w:rFonts w:ascii="Times New Roman;serif" w:hAnsi="Times New Roman;serif"/>
          <w:b w:val="false"/>
          <w:color w:val="000000"/>
          <w:sz w:val="13"/>
        </w:rPr>
        <w:t>-5</w:t>
      </w:r>
      <w:r>
        <w:rPr>
          <w:rFonts w:ascii="Times New Roman;serif" w:hAnsi="Times New Roman;serif"/>
          <w:b w:val="false"/>
          <w:color w:val="000000"/>
          <w:sz w:val="20"/>
        </w:rPr>
        <w:t>). Seven of the 12 patients remained on study as of the data cutoff date in very good partial response (“VGPR”) or better six months or longer following receipt of a single dose of CB-011. The median follow up for these 12 patients was 8.3 months. We initiated the dose expansion portion of the CaMMouflage phase 1 clinical trial in late 2025, which includes enrollment of BCMA-naive and BCMA-exposed patient cohorts.</w:t>
      </w:r>
    </w:p>
    <w:p>
      <w:pPr>
        <w:pStyle w:val="TextBody"/>
        <w:bidi w:val="0"/>
        <w:spacing w:lineRule="auto" w:line="288" w:before="20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Since our founding in 2011, we have devoted substantially all of our resources to organizing and staffing, business planning, raising capital, expanding our genome-editing platform technologies, developing our CAR-T cell therapy product candidates and building our pipeline, creating and maintaining our intellectual property portfolio, and establishing arrangements with third parties for the manufacture, testing, and clinical trial evaluations of our CAR-T cell therapy product candidates. We do not have any products approved for commercial sale and have not generated any revenue from product sales. We have incurred operating losses since commencement of our operations.</w:t>
      </w:r>
    </w:p>
    <w:p>
      <w:pPr>
        <w:pStyle w:val="TextBody"/>
        <w:bidi w:val="0"/>
        <w:spacing w:lineRule="auto" w:line="288" w:before="20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To date, we have primarily funded our operations through proceeds from the sales of our capital stock, revenue from our license and collaboration agreements, and proceeds from the sale of shares of Intellia Therapeutics, Inc. (“Intellia”) common stock.</w:t>
      </w:r>
    </w:p>
    <w:p>
      <w:pPr>
        <w:pStyle w:val="TextBody"/>
        <w:bidi w:val="0"/>
        <w:spacing w:lineRule="auto" w:line="288" w:before="20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Our net losses for the three months ended March 31, 2026, and March 31, 2025, were $25.1 million and $40.0 million, respectively. We had an accumulated deficit of $621.6 million as of March 31, 2026. Our net losses and operating losses may fluctuate from quarter to quarter and year to year depending primarily on the timing of expenses associated with our clinical trials and development of our product candidates. We anticipate that our expenses will increase substantially as we:</w:t>
      </w:r>
    </w:p>
    <w:p>
      <w:pPr>
        <w:pStyle w:val="TextBody"/>
        <w:bidi w:val="0"/>
        <w:spacing w:lineRule="auto" w:line="288" w:before="200" w:after="283"/>
        <w:ind w:left="0" w:right="0" w:hanging="360"/>
        <w:jc w:val="left"/>
        <w:rPr/>
      </w:pPr>
      <w:r>
        <w:rPr>
          <w:color w:val="000000"/>
        </w:rPr>
        <w:t>•</w:t>
      </w:r>
      <w:r>
        <w:rPr>
          <w:rFonts w:ascii="Times New Roman;serif" w:hAnsi="Times New Roman;serif"/>
          <w:b w:val="false"/>
          <w:color w:val="000000"/>
          <w:sz w:val="20"/>
        </w:rPr>
        <w:t>progress our clinical trials for our vispa-cel and CB-011 CAR-T cell therapy product candidates, particularly as we advance vispa-cel in our planned pivotal phase 3 clinical trial;</w:t>
      </w:r>
    </w:p>
    <w:p>
      <w:pPr>
        <w:pStyle w:val="TextBody"/>
        <w:bidi w:val="0"/>
        <w:spacing w:lineRule="auto" w:line="288" w:before="200" w:after="283"/>
        <w:ind w:left="0" w:right="0" w:hanging="360"/>
        <w:jc w:val="left"/>
        <w:rPr/>
      </w:pPr>
      <w:r>
        <w:rPr>
          <w:color w:val="000000"/>
        </w:rPr>
        <w:t>•</w:t>
      </w:r>
      <w:r>
        <w:rPr>
          <w:rFonts w:ascii="Times New Roman;serif" w:hAnsi="Times New Roman;serif"/>
          <w:b w:val="false"/>
          <w:color w:val="000000"/>
          <w:sz w:val="20"/>
        </w:rPr>
        <w:t>hire additional personnel, as needed;</w:t>
      </w:r>
    </w:p>
    <w:p>
      <w:pPr>
        <w:pStyle w:val="TextBody"/>
        <w:bidi w:val="0"/>
        <w:spacing w:lineRule="auto" w:line="288" w:before="200" w:after="283"/>
        <w:ind w:left="0" w:right="0" w:hanging="360"/>
        <w:jc w:val="left"/>
        <w:rPr/>
      </w:pPr>
      <w:r>
        <w:rPr>
          <w:color w:val="000000"/>
        </w:rPr>
        <w:t>•</w:t>
      </w:r>
      <w:r>
        <w:rPr>
          <w:rFonts w:ascii="Times New Roman;serif" w:hAnsi="Times New Roman;serif"/>
          <w:b w:val="false"/>
          <w:color w:val="000000"/>
          <w:sz w:val="20"/>
        </w:rPr>
        <w:t>acquire or in-license intellectual property, new technologies, and/or additional product candidates;</w:t>
      </w:r>
    </w:p>
    <w:p>
      <w:pPr>
        <w:pStyle w:val="TextBody"/>
        <w:bidi w:val="0"/>
        <w:spacing w:lineRule="auto" w:line="288" w:before="200" w:after="283"/>
        <w:ind w:left="0" w:right="0" w:hanging="360"/>
        <w:jc w:val="left"/>
        <w:rPr/>
      </w:pPr>
      <w:r>
        <w:rPr>
          <w:color w:val="000000"/>
        </w:rPr>
        <w:t>•</w:t>
      </w:r>
      <w:r>
        <w:rPr>
          <w:rFonts w:ascii="Times New Roman;serif" w:hAnsi="Times New Roman;serif"/>
          <w:b w:val="false"/>
          <w:color w:val="000000"/>
          <w:sz w:val="20"/>
        </w:rPr>
        <w:t>expand, maintain, enforce, and defend our intellectual property portfolio;</w:t>
      </w:r>
    </w:p>
    <w:p>
      <w:pPr>
        <w:pStyle w:val="TextBody"/>
        <w:bidi w:val="0"/>
        <w:spacing w:lineRule="auto" w:line="288" w:before="200" w:after="283"/>
        <w:ind w:left="0" w:right="0" w:hanging="360"/>
        <w:jc w:val="left"/>
        <w:rPr/>
      </w:pPr>
      <w:r>
        <w:rPr>
          <w:color w:val="000000"/>
        </w:rPr>
        <w:t>•</w:t>
      </w:r>
      <w:r>
        <w:rPr>
          <w:rFonts w:ascii="Times New Roman;serif" w:hAnsi="Times New Roman;serif"/>
          <w:b w:val="false"/>
          <w:color w:val="000000"/>
          <w:sz w:val="20"/>
        </w:rPr>
        <w:t xml:space="preserve">seek regulatory and marketing approvals for our vispa-cel and CB-011 CAR-T cell therapy product candidates if our clinical trials are successful; </w:t>
      </w:r>
    </w:p>
    <w:p>
      <w:pPr>
        <w:pStyle w:val="TextBody"/>
        <w:bidi w:val="0"/>
        <w:spacing w:lineRule="auto" w:line="288" w:before="200" w:after="283"/>
        <w:ind w:left="0" w:right="0" w:hanging="360"/>
        <w:jc w:val="left"/>
        <w:rPr/>
      </w:pPr>
      <w:r>
        <w:rPr>
          <w:color w:val="000000"/>
        </w:rPr>
        <w:t>•</w:t>
      </w:r>
      <w:r>
        <w:rPr>
          <w:rFonts w:ascii="Times New Roman;serif" w:hAnsi="Times New Roman;serif"/>
          <w:b w:val="false"/>
          <w:color w:val="000000"/>
          <w:sz w:val="20"/>
        </w:rPr>
        <w:t>expand manufacturing capabilities and supply chain capacity for our vispa-cel and CB-011 CAR-T cell therapy product candidates;</w:t>
      </w:r>
    </w:p>
    <w:p>
      <w:pPr>
        <w:pStyle w:val="TextBody"/>
        <w:bidi w:val="0"/>
        <w:spacing w:lineRule="auto" w:line="288" w:before="200" w:after="283"/>
        <w:ind w:left="0" w:right="0" w:hanging="360"/>
        <w:jc w:val="left"/>
        <w:rPr/>
      </w:pPr>
      <w:r>
        <w:rPr>
          <w:color w:val="000000"/>
        </w:rPr>
        <w:t>•</w:t>
      </w:r>
      <w:r>
        <w:rPr>
          <w:rFonts w:ascii="Times New Roman;serif" w:hAnsi="Times New Roman;serif"/>
          <w:b w:val="false"/>
          <w:color w:val="000000"/>
          <w:sz w:val="20"/>
        </w:rPr>
        <w:t>experience any delays, challenges, or other issues associated with any of the above, including the failure of clinical trials meeting endpoints, generation of clinical trial data subject to differing interpretations, or the occurrence of potential safety issues or other development or regulatory challenges;</w:t>
      </w:r>
    </w:p>
    <w:p>
      <w:pPr>
        <w:pStyle w:val="TextBody"/>
        <w:bidi w:val="0"/>
        <w:spacing w:lineRule="auto" w:line="288" w:before="200" w:after="283"/>
        <w:ind w:left="0" w:right="0" w:hanging="360"/>
        <w:jc w:val="left"/>
        <w:rPr/>
      </w:pPr>
      <w:r>
        <w:rPr>
          <w:color w:val="000000"/>
        </w:rPr>
        <w:t>•</w:t>
      </w:r>
      <w:r>
        <w:rPr>
          <w:rFonts w:ascii="Times New Roman;serif" w:hAnsi="Times New Roman;serif"/>
          <w:b w:val="false"/>
          <w:color w:val="000000"/>
          <w:sz w:val="20"/>
        </w:rPr>
        <w:t>make royalty, milestone, or other payments under current, and any future, in-license or assignment agreements with third parties;</w:t>
      </w:r>
    </w:p>
    <w:p>
      <w:pPr>
        <w:pStyle w:val="TextBody"/>
        <w:bidi w:val="0"/>
        <w:spacing w:lineRule="auto" w:line="288" w:before="200" w:after="283"/>
        <w:ind w:left="0" w:right="0" w:hanging="360"/>
        <w:jc w:val="left"/>
        <w:rPr/>
      </w:pPr>
      <w:r>
        <w:rPr>
          <w:color w:val="000000"/>
        </w:rPr>
        <w:t>•</w:t>
      </w:r>
      <w:r>
        <w:rPr>
          <w:rFonts w:ascii="Times New Roman;serif" w:hAnsi="Times New Roman;serif"/>
          <w:b w:val="false"/>
          <w:color w:val="000000"/>
          <w:sz w:val="20"/>
        </w:rPr>
        <w:t>establish a sales, marketing, and distribution infrastructure to commercialize any product candidates for which we obtain marketing approval; and</w:t>
      </w:r>
    </w:p>
    <w:p>
      <w:pPr>
        <w:pStyle w:val="TextBody"/>
        <w:bidi w:val="0"/>
        <w:spacing w:lineRule="auto" w:line="288" w:before="200" w:after="283"/>
        <w:ind w:left="0" w:right="0" w:hanging="360"/>
        <w:jc w:val="left"/>
        <w:rPr/>
      </w:pPr>
      <w:r>
        <w:rPr>
          <w:color w:val="000000"/>
        </w:rPr>
        <w:t>•</w:t>
      </w:r>
      <w:r>
        <w:rPr>
          <w:rFonts w:ascii="Times New Roman;serif" w:hAnsi="Times New Roman;serif"/>
          <w:b w:val="false"/>
          <w:color w:val="000000"/>
          <w:sz w:val="20"/>
        </w:rPr>
        <w:t>continue to operate as a public company, including defending against any future class action securities litigation and shareholder derivative lawsuits.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2">
                <wp:simplePos x="0" y="0"/>
                <wp:positionH relativeFrom="character">
                  <wp:align>left</wp:align>
                </wp:positionH>
                <wp:positionV relativeFrom="line">
                  <wp:posOffset>635</wp:posOffset>
                </wp:positionV>
                <wp:extent cx="6480175" cy="146685"/>
                <wp:effectExtent l="0" t="0" r="0" b="0"/>
                <wp:wrapNone/>
                <wp:docPr id="21" name="Frame2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19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19</w:t>
                      </w:r>
                    </w:p>
                  </w:txbxContent>
                </v:textbox>
                <w10:wrap type="none"/>
              </v:rect>
            </w:pict>
          </mc:Fallback>
        </mc:AlternateContent>
      </w:r>
    </w:p>
    <w:p>
      <w:pPr>
        <w:pStyle w:val="TextBody"/>
        <w:bidi w:val="0"/>
        <w:spacing w:lineRule="auto" w:line="288" w:before="0" w:after="0"/>
        <w:jc w:val="left"/>
        <w:rPr/>
      </w:pPr>
      <w:hyperlink w:anchor="i7f5619487a1149c59a3dd36fee75a584_7">
        <w:r>
          <w:rPr>
            <w:rStyle w:val="InternetLink"/>
            <w:rFonts w:ascii="Times New Roman;serif" w:hAnsi="Times New Roman;serif"/>
            <w:b w:val="false"/>
            <w:color w:val="0000FF"/>
            <w:sz w:val="20"/>
            <w:u w:val="single"/>
          </w:rPr>
          <w:t>Table of Contents</w:t>
        </w:r>
      </w:hyperlink>
    </w:p>
    <w:p>
      <w:pPr>
        <w:pStyle w:val="TextBody"/>
        <w:bidi w:val="0"/>
        <w:spacing w:lineRule="auto" w:line="288" w:before="20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We do not own or operate any manufacturing facilities. We use multiple contract manufacturing organizations (“CMOs”) to individually manufacture, under current good manufacturing processes, our chRDNA guides, Cas9 and Cas12a proteins, plasmids, and adeno-associated virus serotype 6 (“AAV6”) vectors used in the manufacture of our CAR-T cell therapy product candidates as well as the CAR-T cell therapy product candidates themselves. We expect to continue to rely on our CMOs for manufacturing our clinical trial materials, and most of these CMOs have capabilities for commercial manufacturing. Additionally, we may decide to build our own manufacturing facility in the future to provide greater flexibility and control over our clinical or commercial manufacturing needs.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83"/>
        <w:jc w:val="left"/>
        <w:rPr>
          <w:rFonts w:ascii="Times New Roman;serif" w:hAnsi="Times New Roman;serif"/>
          <w:b/>
          <w:color w:val="000000"/>
          <w:sz w:val="20"/>
        </w:rPr>
      </w:pPr>
      <w:r>
        <w:rPr>
          <w:rFonts w:ascii="Times New Roman;serif" w:hAnsi="Times New Roman;serif"/>
          <w:b/>
          <w:color w:val="000000"/>
          <w:sz w:val="20"/>
        </w:rPr>
        <w:t>Components of Results of Operations</w:t>
      </w:r>
    </w:p>
    <w:p>
      <w:pPr>
        <w:pStyle w:val="TextBody"/>
        <w:bidi w:val="0"/>
        <w:spacing w:lineRule="auto" w:line="288" w:before="200" w:after="283"/>
        <w:jc w:val="left"/>
        <w:rPr>
          <w:rFonts w:ascii="Times New Roman;serif" w:hAnsi="Times New Roman;serif"/>
          <w:b/>
          <w:i/>
          <w:color w:val="000000"/>
          <w:sz w:val="20"/>
        </w:rPr>
      </w:pPr>
      <w:r>
        <w:rPr>
          <w:rFonts w:ascii="Times New Roman;serif" w:hAnsi="Times New Roman;serif"/>
          <w:b/>
          <w:i/>
          <w:color w:val="000000"/>
          <w:sz w:val="20"/>
        </w:rPr>
        <w:t>Licensing and Other Third-party Revenue</w:t>
      </w:r>
    </w:p>
    <w:p>
      <w:pPr>
        <w:pStyle w:val="TextBody"/>
        <w:bidi w:val="0"/>
        <w:spacing w:lineRule="auto" w:line="288" w:before="20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We have not generated any revenue from product sales to date and do not expect to generate any revenue from the sale of products in the foreseeable future. We cannot predict if, when, or to what extent we will generate revenue from the commercialization and sale of our CAR-T cell therapy product candidates if we succeed in obtaining regulatory approval for such product candidates.</w:t>
      </w:r>
    </w:p>
    <w:p>
      <w:pPr>
        <w:pStyle w:val="TextBody"/>
        <w:bidi w:val="0"/>
        <w:spacing w:lineRule="auto" w:line="288" w:before="20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To date, all of our revenue has been earned from licensing, collaboration, and other third-party agreements, including agreements with related parties. Under these agreements, we may license rights to certain intellectual property controlled by us. The terms of these arrangements typically include payments to us of one or more of the following: nonrefundable, upfront license fees or exclusivity fees; annual maintenance fees; regulatory and/or commercial milestone payments; research and development payments; and royalties on the net sales of products and/or services. Each of these payments results in licensing and other revenue. Revenue under such agreements was $2.4 million for each of the three-month periods ended March 31, 2026, and March 31, 2025. See Notes 5 and 7 to our unaudited condensed consolidated financial statements included elsewhere in this Form 10-Q for additional information.</w:t>
      </w:r>
    </w:p>
    <w:p>
      <w:pPr>
        <w:pStyle w:val="TextBody"/>
        <w:bidi w:val="0"/>
        <w:spacing w:lineRule="auto" w:line="288" w:before="20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For the foreseeable future, we expect substantially all our revenue will be generated from licensing and other third-party agreements. See Note 2 to the consolidated financial statements included in our Form 10-K for additional information about our revenue recognition policy related to our licensing and other third-party agreements.</w:t>
      </w:r>
    </w:p>
    <w:p>
      <w:pPr>
        <w:pStyle w:val="TextBody"/>
        <w:bidi w:val="0"/>
        <w:spacing w:lineRule="auto" w:line="288" w:before="200" w:after="283"/>
        <w:jc w:val="left"/>
        <w:rPr>
          <w:rFonts w:ascii="Times New Roman;serif" w:hAnsi="Times New Roman;serif"/>
          <w:b/>
          <w:i/>
          <w:color w:val="000000"/>
          <w:sz w:val="20"/>
        </w:rPr>
      </w:pPr>
      <w:r>
        <w:rPr>
          <w:rFonts w:ascii="Times New Roman;serif" w:hAnsi="Times New Roman;serif"/>
          <w:b/>
          <w:i/>
          <w:color w:val="000000"/>
          <w:sz w:val="20"/>
        </w:rPr>
        <w:t>Operating Expenses</w:t>
      </w:r>
    </w:p>
    <w:p>
      <w:pPr>
        <w:pStyle w:val="TextBody"/>
        <w:bidi w:val="0"/>
        <w:spacing w:lineRule="auto" w:line="288" w:before="200" w:after="283"/>
        <w:jc w:val="left"/>
        <w:rPr>
          <w:rFonts w:ascii="Times New Roman;serif" w:hAnsi="Times New Roman;serif"/>
          <w:b w:val="false"/>
          <w:i/>
          <w:color w:val="000000"/>
          <w:sz w:val="20"/>
        </w:rPr>
      </w:pPr>
      <w:r>
        <w:rPr>
          <w:rFonts w:ascii="Times New Roman;serif" w:hAnsi="Times New Roman;serif"/>
          <w:b w:val="false"/>
          <w:i/>
          <w:color w:val="000000"/>
          <w:sz w:val="20"/>
        </w:rPr>
        <w:t>Research and Development Expenses</w:t>
      </w:r>
    </w:p>
    <w:p>
      <w:pPr>
        <w:pStyle w:val="TextBody"/>
        <w:bidi w:val="0"/>
        <w:spacing w:lineRule="auto" w:line="288" w:before="20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Our research and development expenses consist of internal and external expenses incurred in connection with the development of our CAR-T cell therapy product candidates and our genome-editing platform technologies, and our in-licensing, assignment, and other third-party agreements.</w:t>
      </w:r>
    </w:p>
    <w:p>
      <w:pPr>
        <w:pStyle w:val="TextBody"/>
        <w:bidi w:val="0"/>
        <w:spacing w:lineRule="auto" w:line="288" w:before="20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External costs include:</w:t>
      </w:r>
    </w:p>
    <w:p>
      <w:pPr>
        <w:pStyle w:val="TextBody"/>
        <w:bidi w:val="0"/>
        <w:spacing w:lineRule="auto" w:line="288" w:before="200" w:after="283"/>
        <w:ind w:left="0" w:right="0" w:hanging="540"/>
        <w:jc w:val="left"/>
        <w:rPr/>
      </w:pPr>
      <w:r>
        <w:rPr>
          <w:color w:val="000000"/>
        </w:rPr>
        <w:t>•</w:t>
      </w:r>
      <w:r>
        <w:rPr>
          <w:rFonts w:ascii="Times New Roman;serif" w:hAnsi="Times New Roman;serif"/>
          <w:b w:val="false"/>
          <w:color w:val="000000"/>
          <w:sz w:val="20"/>
        </w:rPr>
        <w:t>costs associated with acquiring technology and intellectual property licenses that have no alternative future uses, sublicensing revenues, and milestones;</w:t>
      </w:r>
    </w:p>
    <w:p>
      <w:pPr>
        <w:pStyle w:val="TextBody"/>
        <w:bidi w:val="0"/>
        <w:spacing w:lineRule="auto" w:line="288" w:before="200" w:after="283"/>
        <w:ind w:left="0" w:right="0" w:hanging="540"/>
        <w:jc w:val="left"/>
        <w:rPr/>
      </w:pPr>
      <w:r>
        <w:rPr>
          <w:color w:val="000000"/>
        </w:rPr>
        <w:t>•</w:t>
      </w:r>
      <w:r>
        <w:rPr>
          <w:rFonts w:ascii="Times New Roman;serif" w:hAnsi="Times New Roman;serif"/>
          <w:b w:val="false"/>
          <w:color w:val="000000"/>
          <w:sz w:val="20"/>
        </w:rPr>
        <w:t>costs incurred in connection with the clinical development and manufacturing of our CAR-T cell therapy product candidates, including under agreements with CMOs, suppliers, contract research organizations (“CROs”), and clinical sites; and</w:t>
      </w:r>
    </w:p>
    <w:p>
      <w:pPr>
        <w:pStyle w:val="TextBody"/>
        <w:bidi w:val="0"/>
        <w:spacing w:lineRule="auto" w:line="288" w:before="200" w:after="283"/>
        <w:ind w:left="0" w:right="0" w:hanging="540"/>
        <w:jc w:val="left"/>
        <w:rPr/>
      </w:pPr>
      <w:r>
        <w:rPr>
          <w:color w:val="000000"/>
        </w:rPr>
        <w:t>•</w:t>
      </w:r>
      <w:r>
        <w:rPr>
          <w:rFonts w:ascii="Times New Roman;serif" w:hAnsi="Times New Roman;serif"/>
          <w:b w:val="false"/>
          <w:color w:val="000000"/>
          <w:sz w:val="20"/>
        </w:rPr>
        <w:t>other research and development costs, including lab supplies, and consulting services.</w:t>
      </w:r>
    </w:p>
    <w:p>
      <w:pPr>
        <w:pStyle w:val="TextBody"/>
        <w:bidi w:val="0"/>
        <w:spacing w:lineRule="auto" w:line="288" w:before="20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Internal costs include:</w:t>
      </w:r>
    </w:p>
    <w:p>
      <w:pPr>
        <w:pStyle w:val="TextBody"/>
        <w:bidi w:val="0"/>
        <w:spacing w:lineRule="auto" w:line="288" w:before="200" w:after="283"/>
        <w:ind w:left="0" w:right="0" w:hanging="540"/>
        <w:jc w:val="left"/>
        <w:rPr/>
      </w:pPr>
      <w:r>
        <w:rPr>
          <w:color w:val="000000"/>
        </w:rPr>
        <w:t>•</w:t>
      </w:r>
      <w:r>
        <w:rPr>
          <w:rFonts w:ascii="Times New Roman;serif" w:hAnsi="Times New Roman;serif"/>
          <w:b w:val="false"/>
          <w:color w:val="000000"/>
          <w:sz w:val="20"/>
        </w:rPr>
        <w:t>personnel-related costs, including salaries, benefits, and stock-based compensation expense, for our research and development personnel; and</w:t>
      </w:r>
    </w:p>
    <w:p>
      <w:pPr>
        <w:pStyle w:val="TextBody"/>
        <w:bidi w:val="0"/>
        <w:spacing w:lineRule="auto" w:line="288" w:before="200" w:after="283"/>
        <w:ind w:left="0" w:right="0" w:hanging="540"/>
        <w:jc w:val="left"/>
        <w:rPr/>
      </w:pPr>
      <w:r>
        <w:rPr>
          <w:color w:val="000000"/>
        </w:rPr>
        <w:t>•</w:t>
      </w:r>
      <w:r>
        <w:rPr>
          <w:rFonts w:ascii="Times New Roman;serif" w:hAnsi="Times New Roman;serif"/>
          <w:b w:val="false"/>
          <w:color w:val="000000"/>
          <w:sz w:val="20"/>
        </w:rPr>
        <w:t>allocated facilities and other overhead expenses, including expenses for rent, facilities maintenance, and depreciation.</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3">
                <wp:simplePos x="0" y="0"/>
                <wp:positionH relativeFrom="character">
                  <wp:align>left</wp:align>
                </wp:positionH>
                <wp:positionV relativeFrom="line">
                  <wp:posOffset>635</wp:posOffset>
                </wp:positionV>
                <wp:extent cx="6480175" cy="146685"/>
                <wp:effectExtent l="0" t="0" r="0" b="0"/>
                <wp:wrapNone/>
                <wp:docPr id="22" name="Frame2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20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20</w:t>
                      </w:r>
                    </w:p>
                  </w:txbxContent>
                </v:textbox>
                <w10:wrap type="none"/>
              </v:rect>
            </w:pict>
          </mc:Fallback>
        </mc:AlternateContent>
      </w:r>
    </w:p>
    <w:p>
      <w:pPr>
        <w:pStyle w:val="TextBody"/>
        <w:bidi w:val="0"/>
        <w:spacing w:lineRule="auto" w:line="288" w:before="0" w:after="0"/>
        <w:jc w:val="left"/>
        <w:rPr/>
      </w:pPr>
      <w:hyperlink w:anchor="i7f5619487a1149c59a3dd36fee75a584_7">
        <w:r>
          <w:rPr>
            <w:rStyle w:val="InternetLink"/>
            <w:rFonts w:ascii="Times New Roman;serif" w:hAnsi="Times New Roman;serif"/>
            <w:b w:val="false"/>
            <w:color w:val="0000FF"/>
            <w:sz w:val="20"/>
            <w:u w:val="single"/>
          </w:rPr>
          <w:t>Table of Contents</w:t>
        </w:r>
      </w:hyperlink>
    </w:p>
    <w:p>
      <w:pPr>
        <w:pStyle w:val="TextBody"/>
        <w:bidi w:val="0"/>
        <w:spacing w:lineRule="auto" w:line="288" w:before="20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We expense research and development costs as incurred. Costs of certain activities are recognized based on an evaluation of the progress to completion of specific tasks. However, payments made prior to the receipt of goods or services that will be used or rendered for future research and development activities are deferred and capitalized as prepaid expenses and other current assets in our unaudited condensed consolidated balance sheets. The capitalized amounts are recognized as expenses as the goods are delivered or as related services are performed. We separately track certain external costs on a program-by-program basis; however, we do not track costs that are deployed across our programs. We do not allocate internal costs as several of our departments support our programs and our payroll and other personnel expenses are not tracked on a program-by-program basis. </w:t>
      </w:r>
    </w:p>
    <w:p>
      <w:pPr>
        <w:pStyle w:val="TextBody"/>
        <w:bidi w:val="0"/>
        <w:spacing w:lineRule="auto" w:line="288" w:before="20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Clinical development activities are central to our business model. Product candidates in later stages of clinical development generally have higher development costs than those in earlier stages of clinical development, primarily due to the increased size and duration of later-stage clinical trials. We expect that our research and development expenses will increase substantially for the foreseeable future as we continue to implement our business strategy; advance our CAR-T cell therapy product candidates through clinical trials; conduct translational research to support our product candidates; seek regulatory approvals for our product candidates that successfully complete clinical trials; and hire additional personnel to support our clinical development efforts.</w:t>
      </w:r>
    </w:p>
    <w:p>
      <w:pPr>
        <w:pStyle w:val="TextBody"/>
        <w:bidi w:val="0"/>
        <w:spacing w:lineRule="auto" w:line="288" w:before="20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successful development of our CAR-T cell therapy product candidates is highly uncertain. Accordingly, at this time, we cannot reasonably estimate or know the nature, timing, and costs of the efforts that will be necessary to complete the development of our product candidates. We are also unable to predict when, if ever, we will generate revenue and material net cash inflows from the commercialization and sale of any of our product candidates for which we may obtain marketing approval. We may never succeed in achieving regulatory approval for any of our product candidates. The duration, costs, and timing of clinical trials and development of our product candidates will depend on a variety of factors, including:</w:t>
      </w:r>
    </w:p>
    <w:p>
      <w:pPr>
        <w:pStyle w:val="TextBody"/>
        <w:bidi w:val="0"/>
        <w:spacing w:lineRule="auto" w:line="288" w:before="200" w:after="283"/>
        <w:ind w:left="0" w:right="0" w:hanging="540"/>
        <w:jc w:val="left"/>
        <w:rPr/>
      </w:pPr>
      <w:r>
        <w:rPr>
          <w:color w:val="000000"/>
        </w:rPr>
        <w:t>•</w:t>
      </w:r>
      <w:r>
        <w:rPr>
          <w:rFonts w:ascii="Times New Roman;serif" w:hAnsi="Times New Roman;serif"/>
          <w:b w:val="false"/>
          <w:color w:val="000000"/>
          <w:sz w:val="20"/>
        </w:rPr>
        <w:t>sufficiency of our financial and other resources;</w:t>
      </w:r>
    </w:p>
    <w:p>
      <w:pPr>
        <w:pStyle w:val="TextBody"/>
        <w:bidi w:val="0"/>
        <w:spacing w:lineRule="auto" w:line="288" w:before="200" w:after="283"/>
        <w:ind w:left="0" w:right="0" w:hanging="540"/>
        <w:jc w:val="left"/>
        <w:rPr/>
      </w:pPr>
      <w:r>
        <w:rPr>
          <w:color w:val="000000"/>
        </w:rPr>
        <w:t>•</w:t>
      </w:r>
      <w:r>
        <w:rPr>
          <w:rFonts w:ascii="Times New Roman;serif" w:hAnsi="Times New Roman;serif"/>
          <w:b w:val="false"/>
          <w:color w:val="000000"/>
          <w:sz w:val="20"/>
        </w:rPr>
        <w:t>acceptance of our CRISPR chRDNA genome-editing technology;</w:t>
      </w:r>
    </w:p>
    <w:p>
      <w:pPr>
        <w:pStyle w:val="TextBody"/>
        <w:bidi w:val="0"/>
        <w:spacing w:lineRule="auto" w:line="288" w:before="200" w:after="283"/>
        <w:ind w:left="0" w:right="0" w:hanging="540"/>
        <w:jc w:val="left"/>
        <w:rPr/>
      </w:pPr>
      <w:r>
        <w:rPr>
          <w:color w:val="000000"/>
        </w:rPr>
        <w:t>•</w:t>
      </w:r>
      <w:r>
        <w:rPr>
          <w:rFonts w:ascii="Times New Roman;serif" w:hAnsi="Times New Roman;serif"/>
          <w:b w:val="false"/>
          <w:color w:val="000000"/>
          <w:sz w:val="20"/>
        </w:rPr>
        <w:t>ability to develop differentiating features so that our products have a competitive edge;</w:t>
      </w:r>
    </w:p>
    <w:p>
      <w:pPr>
        <w:pStyle w:val="TextBody"/>
        <w:bidi w:val="0"/>
        <w:spacing w:lineRule="auto" w:line="288" w:before="200" w:after="283"/>
        <w:ind w:left="0" w:right="0" w:hanging="540"/>
        <w:jc w:val="left"/>
        <w:rPr/>
      </w:pPr>
      <w:r>
        <w:rPr>
          <w:color w:val="000000"/>
        </w:rPr>
        <w:t>•</w:t>
      </w:r>
      <w:r>
        <w:rPr>
          <w:rFonts w:ascii="Times New Roman;serif" w:hAnsi="Times New Roman;serif"/>
          <w:b w:val="false"/>
          <w:color w:val="000000"/>
          <w:sz w:val="20"/>
        </w:rPr>
        <w:t>establishment, maintenance, enforcement, and defense of our patents and other intellectual property rights;</w:t>
      </w:r>
    </w:p>
    <w:p>
      <w:pPr>
        <w:pStyle w:val="TextBody"/>
        <w:bidi w:val="0"/>
        <w:spacing w:lineRule="auto" w:line="288" w:before="200" w:after="283"/>
        <w:ind w:left="0" w:right="0" w:hanging="540"/>
        <w:jc w:val="left"/>
        <w:rPr/>
      </w:pPr>
      <w:r>
        <w:rPr>
          <w:color w:val="000000"/>
        </w:rPr>
        <w:t>•</w:t>
      </w:r>
      <w:r>
        <w:rPr>
          <w:rFonts w:ascii="Times New Roman;serif" w:hAnsi="Times New Roman;serif"/>
          <w:b w:val="false"/>
          <w:color w:val="000000"/>
          <w:sz w:val="20"/>
        </w:rPr>
        <w:t>our ability to not infringe, misappropriate, or otherwise violate third-party intellectual property rights;</w:t>
      </w:r>
    </w:p>
    <w:p>
      <w:pPr>
        <w:pStyle w:val="TextBody"/>
        <w:bidi w:val="0"/>
        <w:spacing w:lineRule="auto" w:line="288" w:before="200" w:after="283"/>
        <w:ind w:left="0" w:right="0" w:hanging="540"/>
        <w:jc w:val="left"/>
        <w:rPr/>
      </w:pPr>
      <w:r>
        <w:rPr>
          <w:color w:val="000000"/>
        </w:rPr>
        <w:t>•</w:t>
      </w:r>
      <w:r>
        <w:rPr>
          <w:rFonts w:ascii="Times New Roman;serif" w:hAnsi="Times New Roman;serif"/>
          <w:b w:val="false"/>
          <w:color w:val="000000"/>
          <w:sz w:val="20"/>
        </w:rPr>
        <w:t>successful enrollment in, and completion of, our clinical trials of our CAR-T cell therapy product candidates;</w:t>
      </w:r>
    </w:p>
    <w:p>
      <w:pPr>
        <w:pStyle w:val="TextBody"/>
        <w:bidi w:val="0"/>
        <w:spacing w:lineRule="auto" w:line="288" w:before="200" w:after="283"/>
        <w:ind w:left="0" w:right="0" w:hanging="540"/>
        <w:jc w:val="left"/>
        <w:rPr/>
      </w:pPr>
      <w:r>
        <w:rPr>
          <w:color w:val="000000"/>
        </w:rPr>
        <w:t>•</w:t>
      </w:r>
      <w:r>
        <w:rPr>
          <w:rFonts w:ascii="Times New Roman;serif" w:hAnsi="Times New Roman;serif"/>
          <w:b w:val="false"/>
          <w:color w:val="000000"/>
          <w:sz w:val="20"/>
        </w:rPr>
        <w:t>data from our clinical trials that support an acceptable risk-benefit profile of our vispa-cel and CB-011 CAR-T cell therapy product candidates for the intended patient populations and that demonstrate safety and efficacy;</w:t>
      </w:r>
    </w:p>
    <w:p>
      <w:pPr>
        <w:pStyle w:val="TextBody"/>
        <w:bidi w:val="0"/>
        <w:spacing w:lineRule="auto" w:line="288" w:before="200" w:after="283"/>
        <w:ind w:left="0" w:right="0" w:hanging="540"/>
        <w:jc w:val="left"/>
        <w:rPr/>
      </w:pPr>
      <w:r>
        <w:rPr>
          <w:color w:val="000000"/>
        </w:rPr>
        <w:t>•</w:t>
      </w:r>
      <w:r>
        <w:rPr>
          <w:rFonts w:ascii="Times New Roman;serif" w:hAnsi="Times New Roman;serif"/>
          <w:b w:val="false"/>
          <w:color w:val="000000"/>
          <w:sz w:val="20"/>
        </w:rPr>
        <w:t>entry into new collaborations to further the development of our CAR-T cell therapy product candidates;</w:t>
      </w:r>
    </w:p>
    <w:p>
      <w:pPr>
        <w:pStyle w:val="TextBody"/>
        <w:bidi w:val="0"/>
        <w:spacing w:lineRule="auto" w:line="288" w:before="200" w:after="283"/>
        <w:ind w:left="0" w:right="0" w:hanging="540"/>
        <w:jc w:val="left"/>
        <w:rPr/>
      </w:pPr>
      <w:r>
        <w:rPr>
          <w:color w:val="000000"/>
        </w:rPr>
        <w:t>•</w:t>
      </w:r>
      <w:r>
        <w:rPr>
          <w:rFonts w:ascii="Times New Roman;serif" w:hAnsi="Times New Roman;serif"/>
          <w:b w:val="false"/>
          <w:color w:val="000000"/>
          <w:sz w:val="20"/>
        </w:rPr>
        <w:t>successful development of our internal process development and transfer to CMOs;</w:t>
      </w:r>
    </w:p>
    <w:p>
      <w:pPr>
        <w:pStyle w:val="TextBody"/>
        <w:bidi w:val="0"/>
        <w:spacing w:lineRule="auto" w:line="288" w:before="200" w:after="283"/>
        <w:ind w:left="0" w:right="0" w:hanging="540"/>
        <w:jc w:val="left"/>
        <w:rPr/>
      </w:pPr>
      <w:r>
        <w:rPr>
          <w:color w:val="000000"/>
        </w:rPr>
        <w:t>•</w:t>
      </w:r>
      <w:r>
        <w:rPr>
          <w:rFonts w:ascii="Times New Roman;serif" w:hAnsi="Times New Roman;serif"/>
          <w:b w:val="false"/>
          <w:color w:val="000000"/>
          <w:sz w:val="20"/>
        </w:rPr>
        <w:t>establishment and maintenance of agreements with CMOs and suppliers for clinical and commercial supplies and scaling up manufacturing processes and capabilities to support our clinical trials;</w:t>
      </w:r>
    </w:p>
    <w:p>
      <w:pPr>
        <w:pStyle w:val="TextBody"/>
        <w:bidi w:val="0"/>
        <w:spacing w:lineRule="auto" w:line="288" w:before="200" w:after="283"/>
        <w:ind w:left="0" w:right="0" w:hanging="540"/>
        <w:jc w:val="left"/>
        <w:rPr/>
      </w:pPr>
      <w:r>
        <w:rPr>
          <w:color w:val="000000"/>
        </w:rPr>
        <w:t>•</w:t>
      </w:r>
      <w:r>
        <w:rPr>
          <w:rFonts w:ascii="Times New Roman;serif" w:hAnsi="Times New Roman;serif"/>
          <w:b w:val="false"/>
          <w:color w:val="000000"/>
          <w:sz w:val="20"/>
        </w:rPr>
        <w:t>receipt of timely responses and marketing approvals from applicable regulatory authorities;</w:t>
      </w:r>
    </w:p>
    <w:p>
      <w:pPr>
        <w:pStyle w:val="TextBody"/>
        <w:bidi w:val="0"/>
        <w:spacing w:lineRule="auto" w:line="288" w:before="200" w:after="283"/>
        <w:ind w:left="0" w:right="0" w:hanging="540"/>
        <w:jc w:val="left"/>
        <w:rPr/>
      </w:pPr>
      <w:r>
        <w:rPr>
          <w:color w:val="000000"/>
        </w:rPr>
        <w:t>•</w:t>
      </w:r>
      <w:r>
        <w:rPr>
          <w:rFonts w:ascii="Times New Roman;serif" w:hAnsi="Times New Roman;serif"/>
          <w:b w:val="false"/>
          <w:color w:val="000000"/>
          <w:sz w:val="20"/>
        </w:rPr>
        <w:t>grant of nonpatent regulatory exclusivity for our CAR-T cell therapy product candidates;</w:t>
      </w:r>
    </w:p>
    <w:p>
      <w:pPr>
        <w:pStyle w:val="TextBody"/>
        <w:bidi w:val="0"/>
        <w:spacing w:lineRule="auto" w:line="288" w:before="200" w:after="283"/>
        <w:ind w:left="0" w:right="0" w:hanging="540"/>
        <w:jc w:val="left"/>
        <w:rPr/>
      </w:pPr>
      <w:r>
        <w:rPr>
          <w:color w:val="000000"/>
        </w:rPr>
        <w:t>•</w:t>
      </w:r>
      <w:r>
        <w:rPr>
          <w:rFonts w:ascii="Times New Roman;serif" w:hAnsi="Times New Roman;serif"/>
          <w:b w:val="false"/>
          <w:color w:val="000000"/>
          <w:sz w:val="20"/>
        </w:rPr>
        <w:t>establishment of sales, marketing, and distribution capabilities necessary for commercialization of our CAR-T cell therapy product candidates, if approved by the applicable regulatory authorities, whether by us or in collaboration with third parties;</w:t>
      </w:r>
    </w:p>
    <w:p>
      <w:pPr>
        <w:pStyle w:val="TextBody"/>
        <w:bidi w:val="0"/>
        <w:spacing w:lineRule="auto" w:line="288" w:before="200" w:after="283"/>
        <w:ind w:left="0" w:right="0" w:hanging="540"/>
        <w:jc w:val="left"/>
        <w:rPr/>
      </w:pPr>
      <w:r>
        <w:rPr>
          <w:color w:val="000000"/>
        </w:rPr>
        <w:t>•</w:t>
      </w:r>
      <w:r>
        <w:rPr>
          <w:rFonts w:ascii="Times New Roman;serif" w:hAnsi="Times New Roman;serif"/>
          <w:b w:val="false"/>
          <w:color w:val="000000"/>
          <w:sz w:val="20"/>
        </w:rPr>
        <w:t>maintenance of a continued acceptable safety profile of our products post-approval;</w:t>
      </w:r>
    </w:p>
    <w:p>
      <w:pPr>
        <w:pStyle w:val="TextBody"/>
        <w:bidi w:val="0"/>
        <w:spacing w:lineRule="auto" w:line="288" w:before="200" w:after="283"/>
        <w:ind w:left="0" w:right="0" w:hanging="540"/>
        <w:jc w:val="left"/>
        <w:rPr/>
      </w:pPr>
      <w:r>
        <w:rPr>
          <w:color w:val="000000"/>
        </w:rPr>
        <w:t>•</w:t>
      </w:r>
      <w:r>
        <w:rPr>
          <w:rFonts w:ascii="Times New Roman;serif" w:hAnsi="Times New Roman;serif"/>
          <w:b w:val="false"/>
          <w:color w:val="000000"/>
          <w:sz w:val="20"/>
        </w:rPr>
        <w:t>acceptance of our CAR-T cell therapy product candidates, if approved by the applicable regulatory authorities, by patients, the medical community, and third-party payors;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4">
                <wp:simplePos x="0" y="0"/>
                <wp:positionH relativeFrom="character">
                  <wp:align>left</wp:align>
                </wp:positionH>
                <wp:positionV relativeFrom="line">
                  <wp:posOffset>635</wp:posOffset>
                </wp:positionV>
                <wp:extent cx="6480175" cy="146685"/>
                <wp:effectExtent l="0" t="0" r="0" b="0"/>
                <wp:wrapNone/>
                <wp:docPr id="23" name="Frame2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21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21</w:t>
                      </w:r>
                    </w:p>
                  </w:txbxContent>
                </v:textbox>
                <w10:wrap type="none"/>
              </v:rect>
            </w:pict>
          </mc:Fallback>
        </mc:AlternateContent>
      </w:r>
    </w:p>
    <w:p>
      <w:pPr>
        <w:pStyle w:val="TextBody"/>
        <w:bidi w:val="0"/>
        <w:spacing w:lineRule="auto" w:line="288" w:before="0" w:after="0"/>
        <w:jc w:val="left"/>
        <w:rPr/>
      </w:pPr>
      <w:hyperlink w:anchor="i7f5619487a1149c59a3dd36fee75a584_7">
        <w:r>
          <w:rPr>
            <w:rStyle w:val="InternetLink"/>
            <w:rFonts w:ascii="Times New Roman;serif" w:hAnsi="Times New Roman;serif"/>
            <w:b w:val="false"/>
            <w:color w:val="0000FF"/>
            <w:sz w:val="20"/>
            <w:u w:val="single"/>
          </w:rPr>
          <w:t>Table of Contents</w:t>
        </w:r>
      </w:hyperlink>
    </w:p>
    <w:p>
      <w:pPr>
        <w:pStyle w:val="TextBody"/>
        <w:bidi w:val="0"/>
        <w:spacing w:lineRule="auto" w:line="288" w:before="200" w:after="283"/>
        <w:ind w:left="0" w:right="0" w:hanging="540"/>
        <w:jc w:val="left"/>
        <w:rPr/>
      </w:pPr>
      <w:r>
        <w:rPr>
          <w:color w:val="000000"/>
        </w:rPr>
        <w:t>•</w:t>
      </w:r>
      <w:r>
        <w:rPr>
          <w:rFonts w:ascii="Times New Roman;serif" w:hAnsi="Times New Roman;serif"/>
          <w:b w:val="false"/>
          <w:color w:val="000000"/>
          <w:sz w:val="20"/>
        </w:rPr>
        <w:t>ability of our products to compete with other therapies and treatment options;</w:t>
      </w:r>
    </w:p>
    <w:p>
      <w:pPr>
        <w:pStyle w:val="TextBody"/>
        <w:bidi w:val="0"/>
        <w:spacing w:lineRule="auto" w:line="288" w:before="200" w:after="283"/>
        <w:ind w:left="0" w:right="0" w:hanging="540"/>
        <w:jc w:val="left"/>
        <w:rPr/>
      </w:pPr>
      <w:r>
        <w:rPr>
          <w:color w:val="000000"/>
        </w:rPr>
        <w:t>•</w:t>
      </w:r>
      <w:r>
        <w:rPr>
          <w:rFonts w:ascii="Times New Roman;serif" w:hAnsi="Times New Roman;serif"/>
          <w:b w:val="false"/>
          <w:color w:val="000000"/>
          <w:sz w:val="20"/>
        </w:rPr>
        <w:t>establishment and maintenance of healthcare coverage and adequate reimbursement; and</w:t>
      </w:r>
    </w:p>
    <w:p>
      <w:pPr>
        <w:pStyle w:val="TextBody"/>
        <w:bidi w:val="0"/>
        <w:spacing w:lineRule="auto" w:line="288" w:before="200" w:after="283"/>
        <w:ind w:left="0" w:right="0" w:hanging="540"/>
        <w:jc w:val="left"/>
        <w:rPr/>
      </w:pPr>
      <w:r>
        <w:rPr>
          <w:color w:val="000000"/>
        </w:rPr>
        <w:t>•</w:t>
      </w:r>
      <w:r>
        <w:rPr>
          <w:rFonts w:ascii="Times New Roman;serif" w:hAnsi="Times New Roman;serif"/>
          <w:b w:val="false"/>
          <w:color w:val="000000"/>
          <w:sz w:val="20"/>
        </w:rPr>
        <w:t>expanded indications and patient populations for our products.</w:t>
      </w:r>
    </w:p>
    <w:p>
      <w:pPr>
        <w:pStyle w:val="TextBody"/>
        <w:bidi w:val="0"/>
        <w:spacing w:lineRule="auto" w:line="288" w:before="20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following table summarizes our research and development expenses for the periods indicated:</w:t>
      </w:r>
    </w:p>
    <w:tbl>
      <w:tblPr>
        <w:tblW w:w="10205" w:type="dxa"/>
        <w:jc w:val="left"/>
        <w:tblInd w:w="0" w:type="dxa"/>
        <w:tblLayout w:type="fixed"/>
        <w:tblCellMar>
          <w:top w:w="28" w:type="dxa"/>
          <w:left w:w="28" w:type="dxa"/>
          <w:bottom w:w="28" w:type="dxa"/>
          <w:right w:w="28" w:type="dxa"/>
        </w:tblCellMar>
      </w:tblPr>
      <w:tblGrid>
        <w:gridCol w:w="2781"/>
        <w:gridCol w:w="2264"/>
        <w:gridCol w:w="2269"/>
        <w:gridCol w:w="211"/>
        <w:gridCol w:w="721"/>
        <w:gridCol w:w="109"/>
        <w:gridCol w:w="109"/>
        <w:gridCol w:w="109"/>
        <w:gridCol w:w="109"/>
        <w:gridCol w:w="211"/>
        <w:gridCol w:w="721"/>
        <w:gridCol w:w="109"/>
        <w:gridCol w:w="109"/>
        <w:gridCol w:w="109"/>
        <w:gridCol w:w="109"/>
        <w:gridCol w:w="155"/>
      </w:tblGrid>
      <w:tr>
        <w:trPr/>
        <w:tc>
          <w:tcPr>
            <w:tcW w:w="2781" w:type="dxa"/>
            <w:tcBorders/>
            <w:vAlign w:val="center"/>
          </w:tcPr>
          <w:p>
            <w:pPr>
              <w:pStyle w:val="TableContents"/>
              <w:bidi w:val="0"/>
              <w:spacing w:before="0" w:after="283"/>
              <w:jc w:val="left"/>
              <w:rPr>
                <w:sz w:val="4"/>
                <w:szCs w:val="4"/>
              </w:rPr>
            </w:pPr>
            <w:r>
              <w:rPr>
                <w:sz w:val="4"/>
                <w:szCs w:val="4"/>
              </w:rPr>
            </w:r>
          </w:p>
        </w:tc>
        <w:tc>
          <w:tcPr>
            <w:tcW w:w="2264" w:type="dxa"/>
            <w:tcBorders/>
            <w:vAlign w:val="center"/>
          </w:tcPr>
          <w:p>
            <w:pPr>
              <w:pStyle w:val="TableContents"/>
              <w:bidi w:val="0"/>
              <w:spacing w:before="0" w:after="283"/>
              <w:jc w:val="left"/>
              <w:rPr>
                <w:sz w:val="4"/>
                <w:szCs w:val="4"/>
              </w:rPr>
            </w:pPr>
            <w:r>
              <w:rPr>
                <w:sz w:val="4"/>
                <w:szCs w:val="4"/>
              </w:rPr>
            </w:r>
          </w:p>
        </w:tc>
        <w:tc>
          <w:tcPr>
            <w:tcW w:w="226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73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 March 31,</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4" w:type="dxa"/>
            <w:gridSpan w:val="2"/>
            <w:tcBorders/>
          </w:tcPr>
          <w:p>
            <w:pPr>
              <w:pStyle w:val="TableContents"/>
              <w:bidi w:val="0"/>
              <w:spacing w:before="0" w:after="283"/>
              <w:jc w:val="left"/>
              <w:rPr>
                <w:sz w:val="4"/>
                <w:szCs w:val="4"/>
              </w:rPr>
            </w:pPr>
            <w:r>
              <w:rPr>
                <w:sz w:val="4"/>
                <w:szCs w:val="4"/>
              </w:rPr>
            </w:r>
          </w:p>
        </w:tc>
      </w:tr>
      <w:tr>
        <w:trPr/>
        <w:tc>
          <w:tcPr>
            <w:tcW w:w="73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73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(in thousands)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4" w:type="dxa"/>
            <w:gridSpan w:val="2"/>
            <w:tcBorders/>
          </w:tcPr>
          <w:p>
            <w:pPr>
              <w:pStyle w:val="TableContents"/>
              <w:bidi w:val="0"/>
              <w:spacing w:before="0" w:after="283"/>
              <w:jc w:val="left"/>
              <w:rPr>
                <w:sz w:val="4"/>
                <w:szCs w:val="4"/>
              </w:rPr>
            </w:pPr>
            <w:r>
              <w:rPr>
                <w:sz w:val="4"/>
                <w:szCs w:val="4"/>
              </w:rPr>
            </w:r>
          </w:p>
        </w:tc>
      </w:tr>
      <w:tr>
        <w:trPr/>
        <w:tc>
          <w:tcPr>
            <w:tcW w:w="73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External costs:</w:t>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731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Expenses related to licenses, sublicensing revenue, and milestones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1,092 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731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Services provided by CROs, CMOs, and third parties that conduct nonclinical studies and clinical trials on our behalf</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7,922 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15,643 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73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research and development expenses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2,146 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5,124 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73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external costs</w:t>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10,690 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21,859 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73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Internal costs:</w:t>
            </w:r>
          </w:p>
        </w:tc>
        <w:tc>
          <w:tcPr>
            <w:tcW w:w="104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73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Personnel-related expenses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7,507 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10,313 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73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Facilities and other allocated expenses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2,414 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3,359 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73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internal costs</w:t>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9,921 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13,672 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73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research and development expenses</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20,611 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35,531 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00" w:after="283"/>
        <w:jc w:val="left"/>
        <w:rPr>
          <w:rFonts w:ascii="Times New Roman;serif" w:hAnsi="Times New Roman;serif"/>
          <w:b w:val="false"/>
          <w:i/>
          <w:color w:val="000000"/>
          <w:sz w:val="20"/>
        </w:rPr>
      </w:pPr>
      <w:r>
        <w:rPr>
          <w:rFonts w:ascii="Times New Roman;serif" w:hAnsi="Times New Roman;serif"/>
          <w:b w:val="false"/>
          <w:i/>
          <w:color w:val="000000"/>
          <w:sz w:val="20"/>
        </w:rPr>
        <w:t>General and Administrative Expenses</w:t>
      </w:r>
    </w:p>
    <w:p>
      <w:pPr>
        <w:pStyle w:val="TextBody"/>
        <w:bidi w:val="0"/>
        <w:spacing w:lineRule="auto" w:line="288" w:before="20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Our general and administrative expenses consist primarily of personnel-related costs, intellectual property costs, consulting costs, and allocated overhead, including rent, equipment depreciation, and utilities. Personnel-related costs consist of salaries, benefits, and stock-based compensation expense for our general and administrative personnel. Intellectual property costs include expenses for filing, prosecuting, and maintaining patents and patent applications, including certain patents and patent applications that we license from third parties. We are entitled to receive reimbursement from third parties of a portion of the costs for filing, prosecuting, and maintaining certain patents and patent applications. We accrue for these reimbursements as the respective expenses are incurred and classify such reimbursements as a reduction of general and administrative expenses.</w:t>
      </w:r>
    </w:p>
    <w:p>
      <w:pPr>
        <w:pStyle w:val="TextBody"/>
        <w:bidi w:val="0"/>
        <w:spacing w:lineRule="auto" w:line="288" w:before="20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We expect that our general and administrative expenses will increase in the future if our clinical trials are successful and if we prepare for potential commercialization of our CAR-T cell therapy product candidates.</w:t>
      </w:r>
    </w:p>
    <w:p>
      <w:pPr>
        <w:pStyle w:val="TextBody"/>
        <w:bidi w:val="0"/>
        <w:spacing w:lineRule="auto" w:line="288" w:before="200" w:after="283"/>
        <w:jc w:val="left"/>
        <w:rPr>
          <w:rFonts w:ascii="Times New Roman;serif" w:hAnsi="Times New Roman;serif"/>
          <w:b w:val="false"/>
          <w:i/>
          <w:color w:val="000000"/>
          <w:sz w:val="20"/>
        </w:rPr>
      </w:pPr>
      <w:r>
        <w:rPr>
          <w:rFonts w:ascii="Times New Roman;serif" w:hAnsi="Times New Roman;serif"/>
          <w:b w:val="false"/>
          <w:i/>
          <w:color w:val="000000"/>
          <w:sz w:val="20"/>
        </w:rPr>
        <w:t>Other Income</w:t>
      </w:r>
    </w:p>
    <w:p>
      <w:pPr>
        <w:pStyle w:val="TextBody"/>
        <w:bidi w:val="0"/>
        <w:spacing w:lineRule="auto" w:line="288" w:before="20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Other income consists primarily of interest income earned on cash and marketable securities.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5">
                <wp:simplePos x="0" y="0"/>
                <wp:positionH relativeFrom="character">
                  <wp:align>left</wp:align>
                </wp:positionH>
                <wp:positionV relativeFrom="line">
                  <wp:posOffset>635</wp:posOffset>
                </wp:positionV>
                <wp:extent cx="6480175" cy="146685"/>
                <wp:effectExtent l="0" t="0" r="0" b="0"/>
                <wp:wrapNone/>
                <wp:docPr id="24" name="Frame2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22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22</w:t>
                      </w:r>
                    </w:p>
                  </w:txbxContent>
                </v:textbox>
                <w10:wrap type="none"/>
              </v:rect>
            </w:pict>
          </mc:Fallback>
        </mc:AlternateContent>
      </w:r>
    </w:p>
    <w:p>
      <w:pPr>
        <w:pStyle w:val="TextBody"/>
        <w:bidi w:val="0"/>
        <w:spacing w:lineRule="auto" w:line="288" w:before="0" w:after="0"/>
        <w:jc w:val="left"/>
        <w:rPr/>
      </w:pPr>
      <w:hyperlink w:anchor="i7f5619487a1149c59a3dd36fee75a584_7">
        <w:r>
          <w:rPr>
            <w:rStyle w:val="InternetLink"/>
            <w:rFonts w:ascii="Times New Roman;serif" w:hAnsi="Times New Roman;serif"/>
            <w:b w:val="false"/>
            <w:color w:val="0000FF"/>
            <w:sz w:val="20"/>
            <w:u w:val="single"/>
          </w:rPr>
          <w:t>Table of Contents</w:t>
        </w:r>
      </w:hyperlink>
    </w:p>
    <w:p>
      <w:pPr>
        <w:pStyle w:val="TextBody"/>
        <w:bidi w:val="0"/>
        <w:spacing w:lineRule="auto" w:line="288" w:before="200" w:after="283"/>
        <w:jc w:val="left"/>
        <w:rPr>
          <w:rFonts w:ascii="Times New Roman;serif" w:hAnsi="Times New Roman;serif"/>
          <w:b/>
          <w:color w:val="000000"/>
          <w:sz w:val="20"/>
        </w:rPr>
      </w:pPr>
      <w:r>
        <w:rPr>
          <w:rFonts w:ascii="Times New Roman;serif" w:hAnsi="Times New Roman;serif"/>
          <w:b/>
          <w:color w:val="000000"/>
          <w:sz w:val="20"/>
        </w:rPr>
        <w:t>Results of Operations</w:t>
      </w:r>
    </w:p>
    <w:p>
      <w:pPr>
        <w:pStyle w:val="TextBody"/>
        <w:bidi w:val="0"/>
        <w:spacing w:lineRule="auto" w:line="288" w:before="200" w:after="283"/>
        <w:jc w:val="left"/>
        <w:rPr>
          <w:rFonts w:ascii="Times New Roman;serif" w:hAnsi="Times New Roman;serif"/>
          <w:b/>
          <w:i/>
          <w:color w:val="000000"/>
          <w:sz w:val="20"/>
        </w:rPr>
      </w:pPr>
      <w:r>
        <w:rPr>
          <w:rFonts w:ascii="Times New Roman;serif" w:hAnsi="Times New Roman;serif"/>
          <w:b/>
          <w:i/>
          <w:color w:val="000000"/>
          <w:sz w:val="20"/>
        </w:rPr>
        <w:t>Comparison of the Three Months Ended March 31, 2026, and March 31, 2025</w:t>
      </w:r>
    </w:p>
    <w:p>
      <w:pPr>
        <w:pStyle w:val="TextBody"/>
        <w:bidi w:val="0"/>
        <w:spacing w:lineRule="auto" w:line="288" w:before="20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following table summarizes our results of operations for the periods indicated:</w:t>
      </w:r>
    </w:p>
    <w:tbl>
      <w:tblPr>
        <w:tblW w:w="7317" w:type="dxa"/>
        <w:jc w:val="left"/>
        <w:tblInd w:w="0" w:type="dxa"/>
        <w:tblLayout w:type="fixed"/>
        <w:tblCellMar>
          <w:top w:w="28" w:type="dxa"/>
          <w:left w:w="28" w:type="dxa"/>
          <w:bottom w:w="28" w:type="dxa"/>
          <w:right w:w="28" w:type="dxa"/>
        </w:tblCellMar>
      </w:tblPr>
      <w:tblGrid>
        <w:gridCol w:w="1212"/>
        <w:gridCol w:w="1063"/>
        <w:gridCol w:w="1070"/>
        <w:gridCol w:w="211"/>
        <w:gridCol w:w="796"/>
        <w:gridCol w:w="109"/>
        <w:gridCol w:w="109"/>
        <w:gridCol w:w="109"/>
        <w:gridCol w:w="109"/>
        <w:gridCol w:w="211"/>
        <w:gridCol w:w="796"/>
        <w:gridCol w:w="109"/>
        <w:gridCol w:w="109"/>
        <w:gridCol w:w="109"/>
        <w:gridCol w:w="109"/>
        <w:gridCol w:w="211"/>
        <w:gridCol w:w="721"/>
        <w:gridCol w:w="154"/>
      </w:tblGrid>
      <w:tr>
        <w:trPr/>
        <w:tc>
          <w:tcPr>
            <w:tcW w:w="1212" w:type="dxa"/>
            <w:tcBorders/>
            <w:vAlign w:val="center"/>
          </w:tcPr>
          <w:p>
            <w:pPr>
              <w:pStyle w:val="TableContents"/>
              <w:bidi w:val="0"/>
              <w:spacing w:before="0" w:after="283"/>
              <w:jc w:val="left"/>
              <w:rPr>
                <w:sz w:val="4"/>
                <w:szCs w:val="4"/>
              </w:rPr>
            </w:pPr>
            <w:r>
              <w:rPr>
                <w:sz w:val="4"/>
                <w:szCs w:val="4"/>
              </w:rPr>
            </w:r>
          </w:p>
        </w:tc>
        <w:tc>
          <w:tcPr>
            <w:tcW w:w="1063" w:type="dxa"/>
            <w:tcBorders/>
            <w:vAlign w:val="center"/>
          </w:tcPr>
          <w:p>
            <w:pPr>
              <w:pStyle w:val="TableContents"/>
              <w:bidi w:val="0"/>
              <w:spacing w:before="0" w:after="283"/>
              <w:jc w:val="left"/>
              <w:rPr>
                <w:sz w:val="4"/>
                <w:szCs w:val="4"/>
              </w:rPr>
            </w:pPr>
            <w:r>
              <w:rPr>
                <w:sz w:val="4"/>
                <w:szCs w:val="4"/>
              </w:rPr>
            </w:r>
          </w:p>
        </w:tc>
        <w:tc>
          <w:tcPr>
            <w:tcW w:w="107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3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5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 March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Change</w:t>
            </w:r>
          </w:p>
        </w:tc>
      </w:tr>
      <w:tr>
        <w:trPr/>
        <w:tc>
          <w:tcPr>
            <w:tcW w:w="33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72"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(in thousands)</w:t>
            </w:r>
          </w:p>
        </w:tc>
      </w:tr>
      <w:tr>
        <w:trPr/>
        <w:tc>
          <w:tcPr>
            <w:tcW w:w="33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Licensing and other third-party revenue</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2,397 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2,353 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expenses:</w:t>
            </w:r>
          </w:p>
        </w:tc>
        <w:tc>
          <w:tcPr>
            <w:tcW w:w="11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Research and development</w:t>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20,611 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35,531 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(14,920)</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General and administrative</w:t>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8,066 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9,735 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(1,669)</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operating expenses</w:t>
            </w:r>
          </w:p>
        </w:tc>
        <w:tc>
          <w:tcPr>
            <w:tcW w:w="100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28,677 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45,266 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(16,589)</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Loss from operations</w:t>
            </w:r>
          </w:p>
        </w:tc>
        <w:tc>
          <w:tcPr>
            <w:tcW w:w="100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(26,280)</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(42,913)</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16,633 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income</w:t>
            </w:r>
          </w:p>
        </w:tc>
        <w:tc>
          <w:tcPr>
            <w:tcW w:w="11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income, net</w:t>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1,195 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2,922 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(1,727)</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other income</w:t>
            </w:r>
          </w:p>
        </w:tc>
        <w:tc>
          <w:tcPr>
            <w:tcW w:w="100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1,195 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2,922 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(1,727)</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loss</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(25,085)</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(39,991)</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14,906 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00" w:after="283"/>
        <w:jc w:val="left"/>
        <w:rPr>
          <w:rFonts w:ascii="Times New Roman;serif" w:hAnsi="Times New Roman;serif"/>
          <w:b w:val="false"/>
          <w:i/>
          <w:color w:val="000000"/>
          <w:sz w:val="20"/>
        </w:rPr>
      </w:pPr>
      <w:r>
        <w:rPr>
          <w:rFonts w:ascii="Times New Roman;serif" w:hAnsi="Times New Roman;serif"/>
          <w:b w:val="false"/>
          <w:i/>
          <w:color w:val="000000"/>
          <w:sz w:val="20"/>
        </w:rPr>
        <w:t>Licensing and Other Third-party Revenue</w:t>
      </w:r>
    </w:p>
    <w:p>
      <w:pPr>
        <w:pStyle w:val="TextBody"/>
        <w:bidi w:val="0"/>
        <w:spacing w:lineRule="auto" w:line="288" w:before="20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Licensing and other third-party revenue increased by less than $0.1 million to $2.4 million for the three months ended March 31, 2026, from $2.4 million for the three months ended March 31, 2025. </w:t>
      </w:r>
    </w:p>
    <w:p>
      <w:pPr>
        <w:pStyle w:val="TextBody"/>
        <w:bidi w:val="0"/>
        <w:spacing w:lineRule="auto" w:line="288" w:before="200" w:after="283"/>
        <w:jc w:val="left"/>
        <w:rPr>
          <w:rFonts w:ascii="Times New Roman;serif" w:hAnsi="Times New Roman;serif"/>
          <w:b w:val="false"/>
          <w:i/>
          <w:color w:val="000000"/>
          <w:sz w:val="20"/>
        </w:rPr>
      </w:pPr>
      <w:r>
        <w:rPr>
          <w:rFonts w:ascii="Times New Roman;serif" w:hAnsi="Times New Roman;serif"/>
          <w:b w:val="false"/>
          <w:i/>
          <w:color w:val="000000"/>
          <w:sz w:val="20"/>
        </w:rPr>
        <w:t>Research and Development Expenses</w:t>
      </w:r>
    </w:p>
    <w:p>
      <w:pPr>
        <w:pStyle w:val="TextBody"/>
        <w:bidi w:val="0"/>
        <w:spacing w:lineRule="auto" w:line="288" w:before="20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Research and development expenses decreased by $14.9 million to $20.6 million for the three months ended March 31, 2026, from $35.5 million for the three months ended March 31, 2025. This decrease was primarily related to decreases of (i) $7.7 million in external CMO and CRO activities for our clinical CAR-T cell therapy product candidates, driven by decreases of (a) $4.5 million in CRO activities for our clinical trials and (b) $3.2 million due to timing of CMO activities, (ii) $3.0 million in other research and development expenses primarily related to the reduction in workforce and strategic pipeline prioritization, (iii) $2.8 million in personnel-related expenses related to the reduction in workforce and strategic pipeline prioritization, (iv) $0.9 million in other facilities and allocated expenses, and (v) $0.5 million in expenses related to licenses, sublicensing revenue, and milestones.</w:t>
      </w:r>
    </w:p>
    <w:p>
      <w:pPr>
        <w:pStyle w:val="TextBody"/>
        <w:bidi w:val="0"/>
        <w:spacing w:lineRule="auto" w:line="288" w:before="200" w:after="283"/>
        <w:jc w:val="left"/>
        <w:rPr>
          <w:rFonts w:ascii="Times New Roman;serif" w:hAnsi="Times New Roman;serif"/>
          <w:b w:val="false"/>
          <w:i/>
          <w:color w:val="000000"/>
          <w:sz w:val="20"/>
        </w:rPr>
      </w:pPr>
      <w:r>
        <w:rPr>
          <w:rFonts w:ascii="Times New Roman;serif" w:hAnsi="Times New Roman;serif"/>
          <w:b w:val="false"/>
          <w:i/>
          <w:color w:val="000000"/>
          <w:sz w:val="20"/>
        </w:rPr>
        <w:t>General and Administrative Expenses</w:t>
      </w:r>
    </w:p>
    <w:p>
      <w:pPr>
        <w:pStyle w:val="TextBody"/>
        <w:bidi w:val="0"/>
        <w:spacing w:lineRule="auto" w:line="288" w:before="20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General and administrative expenses decreased by $1.7 million to $8.1 million for the three months ended March 31, 2026, from $9.7 million for the three months ended March 31, 2025. This decrease was primarily related to a decrease of $1.2 million in personnel-related expenses related to the reduction in workforce and strategic pipeline prioritization and a decrease of $0.5 million in legal and other service-related expenses. </w:t>
      </w:r>
    </w:p>
    <w:p>
      <w:pPr>
        <w:pStyle w:val="TextBody"/>
        <w:bidi w:val="0"/>
        <w:spacing w:lineRule="auto" w:line="288" w:before="200" w:after="283"/>
        <w:jc w:val="left"/>
        <w:rPr>
          <w:rFonts w:ascii="Times New Roman;serif" w:hAnsi="Times New Roman;serif"/>
          <w:b w:val="false"/>
          <w:i/>
          <w:color w:val="000000"/>
          <w:sz w:val="20"/>
        </w:rPr>
      </w:pPr>
      <w:r>
        <w:rPr>
          <w:rFonts w:ascii="Times New Roman;serif" w:hAnsi="Times New Roman;serif"/>
          <w:b w:val="false"/>
          <w:i/>
          <w:color w:val="000000"/>
          <w:sz w:val="20"/>
        </w:rPr>
        <w:t>Total Other Income</w:t>
      </w:r>
    </w:p>
    <w:p>
      <w:pPr>
        <w:pStyle w:val="TextBody"/>
        <w:bidi w:val="0"/>
        <w:spacing w:lineRule="auto" w:line="288" w:before="20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Total other income decreased by $1.7 million for the three months ended March 31, 2026, as compared to the three months ended March 31, 2025. This decrease was primarily related to a $1.4 million decrease in interest income earned from marketable securities.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83"/>
        <w:jc w:val="both"/>
        <w:rPr>
          <w:rFonts w:ascii="Times New Roman;serif" w:hAnsi="Times New Roman;serif"/>
          <w:b/>
          <w:color w:val="000000"/>
          <w:sz w:val="20"/>
        </w:rPr>
      </w:pPr>
      <w:r>
        <w:rPr>
          <w:rFonts w:ascii="Times New Roman;serif" w:hAnsi="Times New Roman;serif"/>
          <w:b/>
          <w:color w:val="000000"/>
          <w:sz w:val="20"/>
        </w:rPr>
        <w:t>Liquidity, Capital Resources, and Capital Requirements</w:t>
      </w:r>
    </w:p>
    <w:p>
      <w:pPr>
        <w:pStyle w:val="TextBody"/>
        <w:bidi w:val="0"/>
        <w:spacing w:lineRule="auto" w:line="288" w:before="200" w:after="283"/>
        <w:jc w:val="both"/>
        <w:rPr>
          <w:rFonts w:ascii="Times New Roman;serif" w:hAnsi="Times New Roman;serif"/>
          <w:b/>
          <w:i/>
          <w:color w:val="000000"/>
          <w:sz w:val="20"/>
        </w:rPr>
      </w:pPr>
      <w:r>
        <w:rPr>
          <w:rFonts w:ascii="Times New Roman;serif" w:hAnsi="Times New Roman;serif"/>
          <w:b/>
          <w:i/>
          <w:color w:val="000000"/>
          <w:sz w:val="20"/>
        </w:rPr>
        <w:t>Sources of Liquidity</w:t>
      </w:r>
    </w:p>
    <w:p>
      <w:pPr>
        <w:pStyle w:val="TextBody"/>
        <w:bidi w:val="0"/>
        <w:spacing w:lineRule="auto" w:line="288" w:before="20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Since our inception through March 31, 2026, we have raised an aggregate net proceeds of $852.8 million to fund our operations through our initial public offering (“IPO”); sales of convertible preferred stock; a follow-on public offering; proceeds from our licensing, licensing and collaboration, service, and patent assignment agreements, including sales of Intellia stock; private placements; at-the-market equity offerings; and government grants.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6">
                <wp:simplePos x="0" y="0"/>
                <wp:positionH relativeFrom="character">
                  <wp:align>left</wp:align>
                </wp:positionH>
                <wp:positionV relativeFrom="line">
                  <wp:posOffset>635</wp:posOffset>
                </wp:positionV>
                <wp:extent cx="6480175" cy="146685"/>
                <wp:effectExtent l="0" t="0" r="0" b="0"/>
                <wp:wrapNone/>
                <wp:docPr id="25" name="Frame2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23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23</w:t>
                      </w:r>
                    </w:p>
                  </w:txbxContent>
                </v:textbox>
                <w10:wrap type="none"/>
              </v:rect>
            </w:pict>
          </mc:Fallback>
        </mc:AlternateContent>
      </w:r>
    </w:p>
    <w:p>
      <w:pPr>
        <w:pStyle w:val="TextBody"/>
        <w:bidi w:val="0"/>
        <w:spacing w:lineRule="auto" w:line="288" w:before="0" w:after="0"/>
        <w:jc w:val="left"/>
        <w:rPr/>
      </w:pPr>
      <w:hyperlink w:anchor="i7f5619487a1149c59a3dd36fee75a584_7">
        <w:r>
          <w:rPr>
            <w:rStyle w:val="InternetLink"/>
            <w:rFonts w:ascii="Times New Roman;serif" w:hAnsi="Times New Roman;serif"/>
            <w:b w:val="false"/>
            <w:color w:val="0000FF"/>
            <w:sz w:val="20"/>
            <w:u w:val="single"/>
          </w:rPr>
          <w:t>Table of Contents</w:t>
        </w:r>
      </w:hyperlink>
    </w:p>
    <w:p>
      <w:pPr>
        <w:pStyle w:val="TextBody"/>
        <w:bidi w:val="0"/>
        <w:spacing w:lineRule="auto" w:line="288" w:before="20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As of March 31, 2026, we had cash, cash equivalents, and marketable securities of $118.6 million.</w:t>
      </w:r>
    </w:p>
    <w:p>
      <w:pPr>
        <w:pStyle w:val="TextBody"/>
        <w:bidi w:val="0"/>
        <w:spacing w:lineRule="auto" w:line="288" w:before="200" w:after="283"/>
        <w:jc w:val="left"/>
        <w:rPr>
          <w:rFonts w:ascii="Times New Roman;serif" w:hAnsi="Times New Roman;serif"/>
          <w:b w:val="false"/>
          <w:i/>
          <w:color w:val="000000"/>
          <w:sz w:val="20"/>
        </w:rPr>
      </w:pPr>
      <w:r>
        <w:rPr>
          <w:rFonts w:ascii="Times New Roman;serif" w:hAnsi="Times New Roman;serif"/>
          <w:b w:val="false"/>
          <w:i/>
          <w:color w:val="000000"/>
          <w:sz w:val="20"/>
        </w:rPr>
        <w:t>Shelf Registration Statement</w:t>
      </w:r>
    </w:p>
    <w:p>
      <w:pPr>
        <w:pStyle w:val="TextBody"/>
        <w:bidi w:val="0"/>
        <w:spacing w:lineRule="auto" w:line="288" w:before="20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See Note 9 to our unaudited condensed consolidated financial statements included elsewhere in this Form 10-Q for additional information.</w:t>
      </w:r>
    </w:p>
    <w:p>
      <w:pPr>
        <w:pStyle w:val="TextBody"/>
        <w:bidi w:val="0"/>
        <w:spacing w:lineRule="auto" w:line="288" w:before="200" w:after="283"/>
        <w:jc w:val="left"/>
        <w:rPr>
          <w:rFonts w:ascii="Times New Roman;serif" w:hAnsi="Times New Roman;serif"/>
          <w:b w:val="false"/>
          <w:i/>
          <w:color w:val="000000"/>
          <w:sz w:val="20"/>
        </w:rPr>
      </w:pPr>
      <w:r>
        <w:rPr>
          <w:rFonts w:ascii="Times New Roman;serif" w:hAnsi="Times New Roman;serif"/>
          <w:b w:val="false"/>
          <w:i/>
          <w:color w:val="000000"/>
          <w:sz w:val="20"/>
        </w:rPr>
        <w:t>At-the-Market Equity Offering Program</w:t>
      </w:r>
    </w:p>
    <w:p>
      <w:pPr>
        <w:pStyle w:val="TextBody"/>
        <w:bidi w:val="0"/>
        <w:spacing w:lineRule="auto" w:line="288" w:before="20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See Note 9 to our unaudited condensed consolidated financial statements included elsewhere in this Form 10-Q for additional information.</w:t>
      </w:r>
    </w:p>
    <w:p>
      <w:pPr>
        <w:pStyle w:val="TextBody"/>
        <w:bidi w:val="0"/>
        <w:spacing w:lineRule="auto" w:line="288" w:before="200" w:after="283"/>
        <w:jc w:val="both"/>
        <w:rPr>
          <w:rFonts w:ascii="Times New Roman;serif" w:hAnsi="Times New Roman;serif"/>
          <w:b/>
          <w:i/>
          <w:color w:val="000000"/>
          <w:sz w:val="20"/>
        </w:rPr>
      </w:pPr>
      <w:r>
        <w:rPr>
          <w:rFonts w:ascii="Times New Roman;serif" w:hAnsi="Times New Roman;serif"/>
          <w:b/>
          <w:i/>
          <w:color w:val="000000"/>
          <w:sz w:val="20"/>
        </w:rPr>
        <w:t>Funding Requirements</w:t>
      </w:r>
    </w:p>
    <w:p>
      <w:pPr>
        <w:pStyle w:val="TextBody"/>
        <w:bidi w:val="0"/>
        <w:spacing w:lineRule="auto" w:line="288" w:before="20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We expect that our existing cash, cash equivalents, and marketable securities will be sufficient to fund our operations for at least the next 12 months from the date this Form 10-Q is filed. We have based these estimates on our current assumptions, which may require future adjustments based on our ongoing business decisions.</w:t>
      </w:r>
    </w:p>
    <w:p>
      <w:pPr>
        <w:pStyle w:val="TextBody"/>
        <w:bidi w:val="0"/>
        <w:spacing w:lineRule="auto" w:line="288" w:before="20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We will continue to be dependent on equity financing, debt financing, licensing arrangements, and/or other forms of capital raises, including structured or other non-dilutive financings, to fund operating expenses, including to fully fund our planned vispa-cel pivotal phase 3 trial, at least until we are able to generate significant positive cash flows from our operations. We have no current ongoing material financing commitments, such as lines of credit or guarantees, that are expected to affect our liquidity over the next five years, except for our lease commitments and payments under certain of our license agreements as described in Notes 4 and 8 to our unaudited condensed consolidated financial statements included elsewhere in this Form 10-Q.</w:t>
      </w:r>
    </w:p>
    <w:p>
      <w:pPr>
        <w:pStyle w:val="TextBody"/>
        <w:bidi w:val="0"/>
        <w:spacing w:lineRule="auto" w:line="288" w:before="20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Our primary use of cash is to fund operating expenses and research and development expenses, which primarily consists of expenditures related to clinical trials. Cash used to fund operating expenses is impacted by the timing of when we pay these expenses, as reflected in the change in our outstanding accounts payable, accrued expenses, and prepaid expenses.</w:t>
      </w:r>
    </w:p>
    <w:p>
      <w:pPr>
        <w:pStyle w:val="TextBody"/>
        <w:bidi w:val="0"/>
        <w:spacing w:lineRule="auto" w:line="288" w:before="20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Our future funding requirements will depend on many factors, including the following:</w:t>
      </w:r>
    </w:p>
    <w:p>
      <w:pPr>
        <w:pStyle w:val="TextBody"/>
        <w:bidi w:val="0"/>
        <w:spacing w:lineRule="auto" w:line="288" w:before="200" w:after="283"/>
        <w:ind w:left="0" w:right="0" w:hanging="360"/>
        <w:jc w:val="left"/>
        <w:rPr/>
      </w:pPr>
      <w:r>
        <w:rPr>
          <w:color w:val="000000"/>
        </w:rPr>
        <w:t>•</w:t>
      </w:r>
      <w:r>
        <w:rPr>
          <w:rFonts w:ascii="Times New Roman;serif" w:hAnsi="Times New Roman;serif"/>
          <w:b w:val="false"/>
          <w:color w:val="000000"/>
          <w:sz w:val="20"/>
        </w:rPr>
        <w:t>the initiation, progress, timing, costs, and results of clinical trials for our vispa-cel and CB-011 CAR-T cell therapy product candidates;</w:t>
      </w:r>
    </w:p>
    <w:p>
      <w:pPr>
        <w:pStyle w:val="TextBody"/>
        <w:bidi w:val="0"/>
        <w:spacing w:lineRule="auto" w:line="288" w:before="200" w:after="283"/>
        <w:ind w:left="0" w:right="0" w:hanging="360"/>
        <w:jc w:val="left"/>
        <w:rPr/>
      </w:pPr>
      <w:r>
        <w:rPr>
          <w:color w:val="000000"/>
        </w:rPr>
        <w:t>•</w:t>
      </w:r>
      <w:r>
        <w:rPr>
          <w:rFonts w:ascii="Times New Roman;serif" w:hAnsi="Times New Roman;serif"/>
          <w:b w:val="false"/>
          <w:color w:val="000000"/>
          <w:sz w:val="20"/>
        </w:rPr>
        <w:t>the clinical development plans we establish for these product candidates;</w:t>
      </w:r>
    </w:p>
    <w:p>
      <w:pPr>
        <w:pStyle w:val="TextBody"/>
        <w:bidi w:val="0"/>
        <w:spacing w:lineRule="auto" w:line="288" w:before="200" w:after="283"/>
        <w:ind w:left="0" w:right="0" w:hanging="360"/>
        <w:jc w:val="left"/>
        <w:rPr/>
      </w:pPr>
      <w:r>
        <w:rPr>
          <w:color w:val="000000"/>
        </w:rPr>
        <w:t>•</w:t>
      </w:r>
      <w:r>
        <w:rPr>
          <w:rFonts w:ascii="Times New Roman;serif" w:hAnsi="Times New Roman;serif"/>
          <w:b w:val="false"/>
          <w:color w:val="000000"/>
          <w:sz w:val="20"/>
        </w:rPr>
        <w:t>the outcome, timing, and cost of meeting regulatory requirements established by the FDA and other comparable foreign regulatory authorities;</w:t>
      </w:r>
    </w:p>
    <w:p>
      <w:pPr>
        <w:pStyle w:val="TextBody"/>
        <w:bidi w:val="0"/>
        <w:spacing w:lineRule="auto" w:line="288" w:before="200" w:after="283"/>
        <w:ind w:left="0" w:right="0" w:hanging="360"/>
        <w:jc w:val="left"/>
        <w:rPr/>
      </w:pPr>
      <w:r>
        <w:rPr>
          <w:color w:val="000000"/>
        </w:rPr>
        <w:t>•</w:t>
      </w:r>
      <w:r>
        <w:rPr>
          <w:rFonts w:ascii="Times New Roman;serif" w:hAnsi="Times New Roman;serif"/>
          <w:b w:val="false"/>
          <w:color w:val="000000"/>
          <w:sz w:val="20"/>
        </w:rPr>
        <w:t>the potential impact of reductions in government spending and personnel;</w:t>
      </w:r>
    </w:p>
    <w:p>
      <w:pPr>
        <w:pStyle w:val="TextBody"/>
        <w:bidi w:val="0"/>
        <w:spacing w:lineRule="auto" w:line="288" w:before="200" w:after="283"/>
        <w:ind w:left="0" w:right="0" w:hanging="360"/>
        <w:jc w:val="left"/>
        <w:rPr/>
      </w:pPr>
      <w:r>
        <w:rPr>
          <w:color w:val="000000"/>
        </w:rPr>
        <w:t>•</w:t>
      </w:r>
      <w:r>
        <w:rPr>
          <w:rFonts w:ascii="Times New Roman;serif" w:hAnsi="Times New Roman;serif"/>
          <w:b w:val="false"/>
          <w:color w:val="000000"/>
          <w:sz w:val="20"/>
        </w:rPr>
        <w:t>whether we enter into any collaboration agreements and the terms of any such agreements;</w:t>
      </w:r>
    </w:p>
    <w:p>
      <w:pPr>
        <w:pStyle w:val="TextBody"/>
        <w:bidi w:val="0"/>
        <w:spacing w:lineRule="auto" w:line="288" w:before="200" w:after="283"/>
        <w:ind w:left="0" w:right="0" w:hanging="360"/>
        <w:jc w:val="left"/>
        <w:rPr/>
      </w:pPr>
      <w:r>
        <w:rPr>
          <w:color w:val="000000"/>
        </w:rPr>
        <w:t>•</w:t>
      </w:r>
      <w:r>
        <w:rPr>
          <w:rFonts w:ascii="Times New Roman;serif" w:hAnsi="Times New Roman;serif"/>
          <w:b w:val="false"/>
          <w:color w:val="000000"/>
          <w:sz w:val="20"/>
        </w:rPr>
        <w:t>the cost of filing and prosecuting our patent applications, and maintaining and enforcing our patents and other intellectual property rights;</w:t>
      </w:r>
    </w:p>
    <w:p>
      <w:pPr>
        <w:pStyle w:val="TextBody"/>
        <w:bidi w:val="0"/>
        <w:spacing w:lineRule="auto" w:line="288" w:before="200" w:after="283"/>
        <w:ind w:left="0" w:right="0" w:hanging="360"/>
        <w:jc w:val="left"/>
        <w:rPr/>
      </w:pPr>
      <w:r>
        <w:rPr>
          <w:color w:val="000000"/>
        </w:rPr>
        <w:t>•</w:t>
      </w:r>
      <w:r>
        <w:rPr>
          <w:rFonts w:ascii="Times New Roman;serif" w:hAnsi="Times New Roman;serif"/>
          <w:b w:val="false"/>
          <w:color w:val="000000"/>
          <w:sz w:val="20"/>
        </w:rPr>
        <w:t>the cost of defending intellectual property disputes, including patent infringement actions brought by third parties against our products after we receive regulatory approval;</w:t>
      </w:r>
    </w:p>
    <w:p>
      <w:pPr>
        <w:pStyle w:val="TextBody"/>
        <w:bidi w:val="0"/>
        <w:spacing w:lineRule="auto" w:line="288" w:before="200" w:after="283"/>
        <w:ind w:left="0" w:right="0" w:hanging="360"/>
        <w:jc w:val="left"/>
        <w:rPr/>
      </w:pPr>
      <w:r>
        <w:rPr>
          <w:color w:val="000000"/>
        </w:rPr>
        <w:t>•</w:t>
      </w:r>
      <w:r>
        <w:rPr>
          <w:rFonts w:ascii="Times New Roman;serif" w:hAnsi="Times New Roman;serif"/>
          <w:b w:val="false"/>
          <w:color w:val="000000"/>
          <w:sz w:val="20"/>
        </w:rPr>
        <w:t>the effect of competing technological and market developments;</w:t>
      </w:r>
    </w:p>
    <w:p>
      <w:pPr>
        <w:pStyle w:val="TextBody"/>
        <w:bidi w:val="0"/>
        <w:spacing w:lineRule="auto" w:line="288" w:before="200" w:after="283"/>
        <w:ind w:left="0" w:right="0" w:hanging="360"/>
        <w:jc w:val="left"/>
        <w:rPr/>
      </w:pPr>
      <w:r>
        <w:rPr>
          <w:color w:val="000000"/>
        </w:rPr>
        <w:t>•</w:t>
      </w:r>
      <w:r>
        <w:rPr>
          <w:rFonts w:ascii="Times New Roman;serif" w:hAnsi="Times New Roman;serif"/>
          <w:b w:val="false"/>
          <w:color w:val="000000"/>
          <w:sz w:val="20"/>
        </w:rPr>
        <w:t>the cost and timing of completion of commercial-scale outsourced manufacturing activities or the cost and timing of completion of clinical-scale and commercial-scale internal manufacturing activities;</w:t>
      </w:r>
    </w:p>
    <w:p>
      <w:pPr>
        <w:pStyle w:val="TextBody"/>
        <w:bidi w:val="0"/>
        <w:spacing w:lineRule="auto" w:line="288" w:before="200" w:after="283"/>
        <w:ind w:left="0" w:right="0" w:hanging="360"/>
        <w:jc w:val="left"/>
        <w:rPr/>
      </w:pPr>
      <w:r>
        <w:rPr>
          <w:color w:val="000000"/>
        </w:rPr>
        <w:t>•</w:t>
      </w:r>
      <w:r>
        <w:rPr>
          <w:rFonts w:ascii="Times New Roman;serif" w:hAnsi="Times New Roman;serif"/>
          <w:b w:val="false"/>
          <w:color w:val="000000"/>
          <w:sz w:val="20"/>
        </w:rPr>
        <w:t>the cost of establishing sales, marketing, and distribution capabilities for any CAR-T cell therapy product candidates for which we may receive regulatory approval in regions where we choose to commercialize our products;</w:t>
      </w:r>
    </w:p>
    <w:p>
      <w:pPr>
        <w:pStyle w:val="TextBody"/>
        <w:bidi w:val="0"/>
        <w:spacing w:lineRule="auto" w:line="288" w:before="200" w:after="283"/>
        <w:ind w:left="0" w:right="0" w:hanging="360"/>
        <w:jc w:val="left"/>
        <w:rPr/>
      </w:pPr>
      <w:r>
        <w:rPr>
          <w:color w:val="000000"/>
        </w:rPr>
        <w:t>•</w:t>
      </w:r>
      <w:r>
        <w:rPr>
          <w:rFonts w:ascii="Times New Roman;serif" w:hAnsi="Times New Roman;serif"/>
          <w:b w:val="false"/>
          <w:color w:val="000000"/>
          <w:sz w:val="20"/>
        </w:rPr>
        <w:t>the amount of revenue, if any, received from commercial sales of our CAR-T cell therapy product candidates, should any of our product candidates receive marketing approval;</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7">
                <wp:simplePos x="0" y="0"/>
                <wp:positionH relativeFrom="character">
                  <wp:align>left</wp:align>
                </wp:positionH>
                <wp:positionV relativeFrom="line">
                  <wp:posOffset>635</wp:posOffset>
                </wp:positionV>
                <wp:extent cx="6480175" cy="146685"/>
                <wp:effectExtent l="0" t="0" r="0" b="0"/>
                <wp:wrapNone/>
                <wp:docPr id="26" name="Frame2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24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24</w:t>
                      </w:r>
                    </w:p>
                  </w:txbxContent>
                </v:textbox>
                <w10:wrap type="none"/>
              </v:rect>
            </w:pict>
          </mc:Fallback>
        </mc:AlternateContent>
      </w:r>
    </w:p>
    <w:p>
      <w:pPr>
        <w:pStyle w:val="TextBody"/>
        <w:bidi w:val="0"/>
        <w:spacing w:lineRule="auto" w:line="288" w:before="0" w:after="0"/>
        <w:jc w:val="left"/>
        <w:rPr/>
      </w:pPr>
      <w:hyperlink w:anchor="i7f5619487a1149c59a3dd36fee75a584_7">
        <w:r>
          <w:rPr>
            <w:rStyle w:val="InternetLink"/>
            <w:rFonts w:ascii="Times New Roman;serif" w:hAnsi="Times New Roman;serif"/>
            <w:b w:val="false"/>
            <w:color w:val="0000FF"/>
            <w:sz w:val="20"/>
            <w:u w:val="single"/>
          </w:rPr>
          <w:t>Table of Contents</w:t>
        </w:r>
      </w:hyperlink>
    </w:p>
    <w:p>
      <w:pPr>
        <w:pStyle w:val="TextBody"/>
        <w:bidi w:val="0"/>
        <w:spacing w:lineRule="auto" w:line="288" w:before="200" w:after="283"/>
        <w:ind w:left="0" w:right="0" w:hanging="360"/>
        <w:jc w:val="left"/>
        <w:rPr/>
      </w:pPr>
      <w:r>
        <w:rPr>
          <w:color w:val="000000"/>
        </w:rPr>
        <w:t>•</w:t>
      </w:r>
      <w:r>
        <w:rPr>
          <w:rFonts w:ascii="Times New Roman;serif" w:hAnsi="Times New Roman;serif"/>
          <w:b w:val="false"/>
          <w:color w:val="000000"/>
          <w:sz w:val="20"/>
        </w:rPr>
        <w:t>the achievement of milestones or occurrence of other developments that trigger payments by or to third parties;</w:t>
      </w:r>
    </w:p>
    <w:p>
      <w:pPr>
        <w:pStyle w:val="TextBody"/>
        <w:bidi w:val="0"/>
        <w:spacing w:lineRule="auto" w:line="288" w:before="200" w:after="283"/>
        <w:ind w:left="0" w:right="0" w:hanging="360"/>
        <w:jc w:val="left"/>
        <w:rPr/>
      </w:pPr>
      <w:r>
        <w:rPr>
          <w:color w:val="000000"/>
        </w:rPr>
        <w:t>•</w:t>
      </w:r>
      <w:r>
        <w:rPr>
          <w:rFonts w:ascii="Times New Roman;serif" w:hAnsi="Times New Roman;serif"/>
          <w:b w:val="false"/>
          <w:color w:val="000000"/>
          <w:sz w:val="20"/>
        </w:rPr>
        <w:t>our implementation of various computerized informational systems and efforts to enhance operational systems;</w:t>
      </w:r>
    </w:p>
    <w:p>
      <w:pPr>
        <w:pStyle w:val="TextBody"/>
        <w:bidi w:val="0"/>
        <w:spacing w:lineRule="auto" w:line="288" w:before="200" w:after="283"/>
        <w:ind w:left="0" w:right="0" w:hanging="360"/>
        <w:jc w:val="left"/>
        <w:rPr/>
      </w:pPr>
      <w:r>
        <w:rPr>
          <w:color w:val="000000"/>
        </w:rPr>
        <w:t>•</w:t>
      </w:r>
      <w:r>
        <w:rPr>
          <w:rFonts w:ascii="Times New Roman;serif" w:hAnsi="Times New Roman;serif"/>
          <w:b w:val="false"/>
          <w:color w:val="000000"/>
          <w:sz w:val="20"/>
        </w:rPr>
        <w:t xml:space="preserve">the impact of public health crises or geopolitical events on our clinical development or operations; </w:t>
      </w:r>
    </w:p>
    <w:p>
      <w:pPr>
        <w:pStyle w:val="TextBody"/>
        <w:bidi w:val="0"/>
        <w:spacing w:lineRule="auto" w:line="288" w:before="200" w:after="283"/>
        <w:ind w:left="0" w:right="0" w:hanging="360"/>
        <w:jc w:val="left"/>
        <w:rPr/>
      </w:pPr>
      <w:r>
        <w:rPr>
          <w:color w:val="000000"/>
        </w:rPr>
        <w:t>•</w:t>
      </w:r>
      <w:r>
        <w:rPr>
          <w:rFonts w:ascii="Times New Roman;serif" w:hAnsi="Times New Roman;serif"/>
          <w:b w:val="false"/>
          <w:color w:val="000000"/>
          <w:sz w:val="20"/>
        </w:rPr>
        <w:t>the impact of inflationary pressures and tariffs on the cost of our operations; and</w:t>
      </w:r>
    </w:p>
    <w:p>
      <w:pPr>
        <w:pStyle w:val="TextBody"/>
        <w:bidi w:val="0"/>
        <w:spacing w:lineRule="auto" w:line="288" w:before="200" w:after="283"/>
        <w:ind w:left="0" w:right="0" w:hanging="360"/>
        <w:jc w:val="left"/>
        <w:rPr/>
      </w:pPr>
      <w:r>
        <w:rPr>
          <w:color w:val="000000"/>
        </w:rPr>
        <w:t>•</w:t>
      </w:r>
      <w:r>
        <w:rPr>
          <w:rFonts w:ascii="Times New Roman;serif" w:hAnsi="Times New Roman;serif"/>
          <w:b w:val="false"/>
          <w:color w:val="000000"/>
          <w:sz w:val="20"/>
        </w:rPr>
        <w:t>the costs of operating as a public company, including defending against any future class action securities litigation and shareholder derivative lawsuits.</w:t>
      </w:r>
    </w:p>
    <w:p>
      <w:pPr>
        <w:pStyle w:val="TextBody"/>
        <w:bidi w:val="0"/>
        <w:spacing w:lineRule="auto" w:line="288" w:before="20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Furthermore, our operating plans may change, and we expect to need additional funds to meet operational needs and capital requirements for our clinical trials and development of our CAR-T cell therapy product candidates.</w:t>
      </w:r>
    </w:p>
    <w:p>
      <w:pPr>
        <w:pStyle w:val="TextBody"/>
        <w:bidi w:val="0"/>
        <w:spacing w:lineRule="auto" w:line="288" w:before="20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Because of the numerous risks and uncertainties associated with therapeutic product development, we may never achieve profitability and, unless and until we are able to develop and commercialize our CAR-T cell therapy product candidates, we will need to continue to raise additional capital. Until we can generate significant revenue from product sales, if ever, we expect to finance our operations through equity offerings (including our at-the-market equity offering program), debt financings, new collaborations, structured or other non-dilutive financings, licensing arrangements, and/or other sources. We cannot provide any assurance that we will be successful in obtaining an adequate level of financing to support our business plans as needed on acceptable terms, or at all. If we raise additional funds through new collaborations or licensing arrangements with third parties, we may have to relinquish valuable rights to our intellectual property, future revenue streams, or product candidates or grant licenses on terms that may not be favorable to us. Disruptions and volatility in the global and domestic capital markets resulting from heightened inflation, tariffs, capital market volatility, interest rate and currency rate fluctuations, artificial intelligence (“AI”), political and geopolitical tensions, government agency changes, any potential economic slowdown or recession, including trade wars or civil or political unrest (such as the ongoing war between Ukraine and Russia, conflicts in the Middle East, including the recent hostilities involving Iran, tension between China and Taiwan, geopolitical tensions in Europe, South America, and elsewhere) may increase the cost of capital and limit our ability to access capital. If we are unable to raise capital as and when needed or on attractive terms, we may have to significantly delay, reduce, or discontinue the development and commercialization of our CAR-T cell therapy product candidates or scale back or terminate our pursuit of new in-licenses and acquisitions.</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83"/>
        <w:jc w:val="left"/>
        <w:rPr>
          <w:rFonts w:ascii="Times New Roman;serif" w:hAnsi="Times New Roman;serif"/>
          <w:b/>
          <w:color w:val="000000"/>
          <w:sz w:val="20"/>
        </w:rPr>
      </w:pPr>
      <w:r>
        <w:rPr>
          <w:rFonts w:ascii="Times New Roman;serif" w:hAnsi="Times New Roman;serif"/>
          <w:b/>
          <w:color w:val="000000"/>
          <w:sz w:val="20"/>
        </w:rPr>
        <w:t>Cash Flows</w:t>
      </w:r>
    </w:p>
    <w:p>
      <w:pPr>
        <w:pStyle w:val="TextBody"/>
        <w:bidi w:val="0"/>
        <w:spacing w:lineRule="auto" w:line="288" w:before="200" w:after="283"/>
        <w:jc w:val="left"/>
        <w:rPr>
          <w:rFonts w:ascii="Times New Roman;serif" w:hAnsi="Times New Roman;serif"/>
          <w:b/>
          <w:i/>
          <w:color w:val="000000"/>
          <w:sz w:val="20"/>
        </w:rPr>
      </w:pPr>
      <w:r>
        <w:rPr>
          <w:rFonts w:ascii="Times New Roman;serif" w:hAnsi="Times New Roman;serif"/>
          <w:b/>
          <w:i/>
          <w:color w:val="000000"/>
          <w:sz w:val="20"/>
        </w:rPr>
        <w:t>Comparison of the Three Months Ended March 31, 2026, and March 31, 2025</w:t>
      </w:r>
    </w:p>
    <w:p>
      <w:pPr>
        <w:pStyle w:val="TextBody"/>
        <w:bidi w:val="0"/>
        <w:spacing w:lineRule="auto" w:line="288" w:before="20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following table summarizes our cash flows for the periods indicated:</w:t>
      </w:r>
    </w:p>
    <w:tbl>
      <w:tblPr>
        <w:tblW w:w="10001" w:type="dxa"/>
        <w:jc w:val="left"/>
        <w:tblInd w:w="0" w:type="dxa"/>
        <w:tblLayout w:type="fixed"/>
        <w:tblCellMar>
          <w:top w:w="28" w:type="dxa"/>
          <w:left w:w="28" w:type="dxa"/>
          <w:bottom w:w="28" w:type="dxa"/>
          <w:right w:w="28" w:type="dxa"/>
        </w:tblCellMar>
      </w:tblPr>
      <w:tblGrid>
        <w:gridCol w:w="2155"/>
        <w:gridCol w:w="1897"/>
        <w:gridCol w:w="1902"/>
        <w:gridCol w:w="211"/>
        <w:gridCol w:w="796"/>
        <w:gridCol w:w="109"/>
        <w:gridCol w:w="109"/>
        <w:gridCol w:w="109"/>
        <w:gridCol w:w="109"/>
        <w:gridCol w:w="211"/>
        <w:gridCol w:w="796"/>
        <w:gridCol w:w="109"/>
        <w:gridCol w:w="109"/>
        <w:gridCol w:w="109"/>
        <w:gridCol w:w="109"/>
        <w:gridCol w:w="211"/>
        <w:gridCol w:w="796"/>
        <w:gridCol w:w="154"/>
      </w:tblGrid>
      <w:tr>
        <w:trPr/>
        <w:tc>
          <w:tcPr>
            <w:tcW w:w="2155" w:type="dxa"/>
            <w:tcBorders/>
            <w:vAlign w:val="center"/>
          </w:tcPr>
          <w:p>
            <w:pPr>
              <w:pStyle w:val="TableContents"/>
              <w:bidi w:val="0"/>
              <w:spacing w:before="0" w:after="283"/>
              <w:jc w:val="left"/>
              <w:rPr>
                <w:sz w:val="4"/>
                <w:szCs w:val="4"/>
              </w:rPr>
            </w:pPr>
            <w:r>
              <w:rPr>
                <w:sz w:val="4"/>
                <w:szCs w:val="4"/>
              </w:rPr>
            </w:r>
          </w:p>
        </w:tc>
        <w:tc>
          <w:tcPr>
            <w:tcW w:w="1897" w:type="dxa"/>
            <w:tcBorders/>
            <w:vAlign w:val="center"/>
          </w:tcPr>
          <w:p>
            <w:pPr>
              <w:pStyle w:val="TableContents"/>
              <w:bidi w:val="0"/>
              <w:spacing w:before="0" w:after="283"/>
              <w:jc w:val="left"/>
              <w:rPr>
                <w:sz w:val="4"/>
                <w:szCs w:val="4"/>
              </w:rPr>
            </w:pPr>
            <w:r>
              <w:rPr>
                <w:sz w:val="4"/>
                <w:szCs w:val="4"/>
              </w:rPr>
            </w:r>
          </w:p>
        </w:tc>
        <w:tc>
          <w:tcPr>
            <w:tcW w:w="1902"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9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5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 March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52"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52"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52" w:before="0" w:after="0"/>
              <w:jc w:val="center"/>
              <w:rPr/>
            </w:pPr>
            <w:r>
              <w:rPr>
                <w:rFonts w:ascii="Times New Roman;serif" w:hAnsi="Times New Roman;serif"/>
                <w:b/>
                <w:color w:val="000000"/>
                <w:sz w:val="16"/>
              </w:rPr>
              <w:t>Change</w:t>
            </w:r>
            <w:r>
              <w:rPr>
                <w:color w:val="000000"/>
              </w:rPr>
              <w:t xml:space="preserve"> </w:t>
            </w:r>
          </w:p>
        </w:tc>
      </w:tr>
      <w:tr>
        <w:trPr/>
        <w:tc>
          <w:tcPr>
            <w:tcW w:w="59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7" w:type="dxa"/>
            <w:gridSpan w:val="15"/>
            <w:tcBorders/>
            <w:tcMar>
              <w:top w:w="0" w:type="dxa"/>
              <w:left w:w="0" w:type="dxa"/>
              <w:bottom w:w="0" w:type="dxa"/>
              <w:right w:w="0" w:type="dxa"/>
            </w:tcMar>
            <w:vAlign w:val="center"/>
          </w:tcPr>
          <w:p>
            <w:pPr>
              <w:pStyle w:val="TableContents"/>
              <w:bidi w:val="0"/>
              <w:spacing w:lineRule="auto" w:line="252" w:before="0" w:after="0"/>
              <w:jc w:val="center"/>
              <w:rPr/>
            </w:pPr>
            <w:r>
              <w:rPr>
                <w:rFonts w:ascii="Times New Roman;serif" w:hAnsi="Times New Roman;serif"/>
                <w:b/>
                <w:color w:val="000000"/>
                <w:sz w:val="16"/>
              </w:rPr>
              <w:t>(in thousands)</w:t>
            </w:r>
            <w:r>
              <w:rPr>
                <w:color w:val="000000"/>
              </w:rPr>
              <w:t xml:space="preserve"> </w:t>
            </w:r>
          </w:p>
        </w:tc>
      </w:tr>
      <w:tr>
        <w:trPr/>
        <w:tc>
          <w:tcPr>
            <w:tcW w:w="5954" w:type="dxa"/>
            <w:gridSpan w:val="3"/>
            <w:tcBorders/>
            <w:shd w:fill="CCEEFF" w:val="clear"/>
            <w:tcMar>
              <w:top w:w="0" w:type="dxa"/>
              <w:left w:w="0" w:type="dxa"/>
              <w:bottom w:w="0" w:type="dxa"/>
              <w:right w:w="0" w:type="dxa"/>
            </w:tcMar>
            <w:vAlign w:val="center"/>
          </w:tcPr>
          <w:p>
            <w:pPr>
              <w:pStyle w:val="TableContents"/>
              <w:bidi w:val="0"/>
              <w:spacing w:lineRule="auto" w:line="252" w:before="0" w:after="283"/>
              <w:jc w:val="left"/>
              <w:rPr>
                <w:rFonts w:ascii="Times New Roman;serif" w:hAnsi="Times New Roman;serif"/>
                <w:b w:val="false"/>
                <w:color w:val="000000"/>
                <w:sz w:val="20"/>
              </w:rPr>
            </w:pPr>
            <w:r>
              <w:rPr>
                <w:rFonts w:ascii="Times New Roman;serif" w:hAnsi="Times New Roman;serif"/>
                <w:b w:val="false"/>
                <w:color w:val="000000"/>
                <w:sz w:val="20"/>
              </w:rPr>
              <w:t>Cash used in operating activities</w:t>
            </w:r>
          </w:p>
        </w:tc>
        <w:tc>
          <w:tcPr>
            <w:tcW w:w="211" w:type="dxa"/>
            <w:tcBorders/>
            <w:shd w:fill="CCEEFF" w:val="clear"/>
            <w:tcMar>
              <w:top w:w="0" w:type="dxa"/>
              <w:left w:w="0" w:type="dxa"/>
              <w:bottom w:w="0" w:type="dxa"/>
              <w:right w:w="0" w:type="dxa"/>
            </w:tcMar>
            <w:vAlign w:val="center"/>
          </w:tcPr>
          <w:p>
            <w:pPr>
              <w:pStyle w:val="TableContents"/>
              <w:bidi w:val="0"/>
              <w:spacing w:lineRule="auto" w:line="252"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shd w:fill="CCEEFF" w:val="clear"/>
            <w:tcMar>
              <w:top w:w="0" w:type="dxa"/>
              <w:left w:w="0" w:type="dxa"/>
              <w:bottom w:w="0" w:type="dxa"/>
              <w:right w:w="0" w:type="dxa"/>
            </w:tcMar>
            <w:vAlign w:val="center"/>
          </w:tcPr>
          <w:p>
            <w:pPr>
              <w:pStyle w:val="TableContents"/>
              <w:bidi w:val="0"/>
              <w:spacing w:lineRule="auto" w:line="252" w:before="0" w:after="283"/>
              <w:jc w:val="right"/>
              <w:rPr>
                <w:rFonts w:ascii="Times New Roman;serif" w:hAnsi="Times New Roman;serif"/>
                <w:b w:val="false"/>
                <w:color w:val="000000"/>
                <w:sz w:val="20"/>
              </w:rPr>
            </w:pPr>
            <w:r>
              <w:rPr>
                <w:rFonts w:ascii="Times New Roman;serif" w:hAnsi="Times New Roman;serif"/>
                <w:b w:val="false"/>
                <w:color w:val="000000"/>
                <w:sz w:val="20"/>
              </w:rPr>
              <w:t>(26,984)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52"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shd w:fill="CCEEFF" w:val="clear"/>
            <w:tcMar>
              <w:top w:w="0" w:type="dxa"/>
              <w:left w:w="0" w:type="dxa"/>
              <w:bottom w:w="0" w:type="dxa"/>
              <w:right w:w="0" w:type="dxa"/>
            </w:tcMar>
            <w:vAlign w:val="center"/>
          </w:tcPr>
          <w:p>
            <w:pPr>
              <w:pStyle w:val="TableContents"/>
              <w:bidi w:val="0"/>
              <w:spacing w:lineRule="auto" w:line="252" w:before="0" w:after="283"/>
              <w:jc w:val="right"/>
              <w:rPr>
                <w:rFonts w:ascii="Times New Roman;serif" w:hAnsi="Times New Roman;serif"/>
                <w:b w:val="false"/>
                <w:color w:val="000000"/>
                <w:sz w:val="20"/>
              </w:rPr>
            </w:pPr>
            <w:r>
              <w:rPr>
                <w:rFonts w:ascii="Times New Roman;serif" w:hAnsi="Times New Roman;serif"/>
                <w:b w:val="false"/>
                <w:color w:val="000000"/>
                <w:sz w:val="20"/>
              </w:rPr>
              <w:t>(36,725)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52"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shd w:fill="CCEEFF" w:val="clear"/>
            <w:tcMar>
              <w:top w:w="0" w:type="dxa"/>
              <w:left w:w="0" w:type="dxa"/>
              <w:bottom w:w="0" w:type="dxa"/>
              <w:right w:w="0" w:type="dxa"/>
            </w:tcMar>
            <w:vAlign w:val="center"/>
          </w:tcPr>
          <w:p>
            <w:pPr>
              <w:pStyle w:val="TableContents"/>
              <w:bidi w:val="0"/>
              <w:spacing w:lineRule="auto" w:line="252" w:before="0" w:after="283"/>
              <w:jc w:val="right"/>
              <w:rPr>
                <w:rFonts w:ascii="Times New Roman;serif" w:hAnsi="Times New Roman;serif"/>
                <w:b w:val="false"/>
                <w:color w:val="000000"/>
                <w:sz w:val="20"/>
              </w:rPr>
            </w:pPr>
            <w:r>
              <w:rPr>
                <w:rFonts w:ascii="Times New Roman;serif" w:hAnsi="Times New Roman;serif"/>
                <w:b w:val="false"/>
                <w:color w:val="000000"/>
                <w:sz w:val="20"/>
              </w:rPr>
              <w:t>9,741 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54" w:type="dxa"/>
            <w:gridSpan w:val="3"/>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serif" w:hAnsi="Times New Roman;serif"/>
                <w:b w:val="false"/>
                <w:color w:val="000000"/>
                <w:sz w:val="20"/>
              </w:rPr>
            </w:pPr>
            <w:r>
              <w:rPr>
                <w:rFonts w:ascii="Times New Roman;serif" w:hAnsi="Times New Roman;serif"/>
                <w:b w:val="false"/>
                <w:color w:val="000000"/>
                <w:sz w:val="20"/>
              </w:rPr>
              <w:t>Cash provided by investing activities</w:t>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serif" w:hAnsi="Times New Roman;serif"/>
                <w:b w:val="false"/>
                <w:color w:val="000000"/>
                <w:sz w:val="20"/>
              </w:rPr>
            </w:pPr>
            <w:r>
              <w:rPr>
                <w:rFonts w:ascii="Times New Roman;serif" w:hAnsi="Times New Roman;serif"/>
                <w:b w:val="false"/>
                <w:color w:val="000000"/>
                <w:sz w:val="20"/>
              </w:rPr>
              <w:t>23,985 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serif" w:hAnsi="Times New Roman;serif"/>
                <w:b w:val="false"/>
                <w:color w:val="000000"/>
                <w:sz w:val="20"/>
              </w:rPr>
            </w:pPr>
            <w:r>
              <w:rPr>
                <w:rFonts w:ascii="Times New Roman;serif" w:hAnsi="Times New Roman;serif"/>
                <w:b w:val="false"/>
                <w:color w:val="000000"/>
                <w:sz w:val="20"/>
              </w:rPr>
              <w:t>49,381 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serif" w:hAnsi="Times New Roman;serif"/>
                <w:b w:val="false"/>
                <w:color w:val="000000"/>
                <w:sz w:val="20"/>
              </w:rPr>
            </w:pPr>
            <w:r>
              <w:rPr>
                <w:rFonts w:ascii="Times New Roman;serif" w:hAnsi="Times New Roman;serif"/>
                <w:b w:val="false"/>
                <w:color w:val="000000"/>
                <w:sz w:val="20"/>
              </w:rPr>
              <w:t>(25,396)</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54" w:type="dxa"/>
            <w:gridSpan w:val="3"/>
            <w:tcBorders/>
            <w:shd w:fill="CCEEFF" w:val="clear"/>
            <w:tcMar>
              <w:top w:w="0" w:type="dxa"/>
              <w:left w:w="0" w:type="dxa"/>
              <w:bottom w:w="0" w:type="dxa"/>
              <w:right w:w="0" w:type="dxa"/>
            </w:tcMar>
            <w:vAlign w:val="center"/>
          </w:tcPr>
          <w:p>
            <w:pPr>
              <w:pStyle w:val="TableContents"/>
              <w:bidi w:val="0"/>
              <w:spacing w:lineRule="auto" w:line="252" w:before="0" w:after="283"/>
              <w:jc w:val="left"/>
              <w:rPr>
                <w:rFonts w:ascii="Times New Roman;serif" w:hAnsi="Times New Roman;serif"/>
                <w:b w:val="false"/>
                <w:color w:val="000000"/>
                <w:sz w:val="20"/>
              </w:rPr>
            </w:pPr>
            <w:r>
              <w:rPr>
                <w:rFonts w:ascii="Times New Roman;serif" w:hAnsi="Times New Roman;serif"/>
                <w:b w:val="false"/>
                <w:color w:val="000000"/>
                <w:sz w:val="20"/>
              </w:rPr>
              <w:t>Cash provided by financing activities</w:t>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52" w:before="0" w:after="283"/>
              <w:jc w:val="right"/>
              <w:rPr>
                <w:rFonts w:ascii="Times New Roman;serif" w:hAnsi="Times New Roman;serif"/>
                <w:b w:val="false"/>
                <w:color w:val="000000"/>
                <w:sz w:val="20"/>
              </w:rPr>
            </w:pPr>
            <w:r>
              <w:rPr>
                <w:rFonts w:ascii="Times New Roman;serif" w:hAnsi="Times New Roman;serif"/>
                <w:b w:val="false"/>
                <w:color w:val="000000"/>
                <w:sz w:val="20"/>
              </w:rPr>
              <w:t>2,696 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52" w:before="0" w:after="283"/>
              <w:jc w:val="right"/>
              <w:rPr>
                <w:rFonts w:ascii="Times New Roman;serif" w:hAnsi="Times New Roman;serif"/>
                <w:b w:val="false"/>
                <w:color w:val="000000"/>
                <w:sz w:val="20"/>
              </w:rPr>
            </w:pPr>
            <w:r>
              <w:rPr>
                <w:rFonts w:ascii="Times New Roman;serif" w:hAnsi="Times New Roman;serif"/>
                <w:b w:val="false"/>
                <w:color w:val="000000"/>
                <w:sz w:val="20"/>
              </w:rPr>
              <w:t>468 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52" w:before="0" w:after="283"/>
              <w:jc w:val="right"/>
              <w:rPr>
                <w:rFonts w:ascii="Times New Roman;serif" w:hAnsi="Times New Roman;serif"/>
                <w:b w:val="false"/>
                <w:color w:val="000000"/>
                <w:sz w:val="20"/>
              </w:rPr>
            </w:pPr>
            <w:r>
              <w:rPr>
                <w:rFonts w:ascii="Times New Roman;serif" w:hAnsi="Times New Roman;serif"/>
                <w:b w:val="false"/>
                <w:color w:val="000000"/>
                <w:sz w:val="20"/>
              </w:rPr>
              <w:t>2,228 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54" w:type="dxa"/>
            <w:gridSpan w:val="3"/>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serif" w:hAnsi="Times New Roman;serif"/>
                <w:b w:val="false"/>
                <w:color w:val="000000"/>
                <w:sz w:val="20"/>
              </w:rPr>
            </w:pPr>
            <w:r>
              <w:rPr>
                <w:rFonts w:ascii="Times New Roman;serif" w:hAnsi="Times New Roman;serif"/>
                <w:b w:val="false"/>
                <w:color w:val="000000"/>
                <w:sz w:val="20"/>
              </w:rPr>
              <w:t>Net (decrease) increase in cash, and cash equivalents, and restricted cash</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52"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52" w:before="0" w:after="283"/>
              <w:jc w:val="right"/>
              <w:rPr>
                <w:rFonts w:ascii="Times New Roman;serif" w:hAnsi="Times New Roman;serif"/>
                <w:b w:val="false"/>
                <w:color w:val="000000"/>
                <w:sz w:val="20"/>
              </w:rPr>
            </w:pPr>
            <w:r>
              <w:rPr>
                <w:rFonts w:ascii="Times New Roman;serif" w:hAnsi="Times New Roman;serif"/>
                <w:b w:val="false"/>
                <w:color w:val="000000"/>
                <w:sz w:val="20"/>
              </w:rPr>
              <w:t>(303)</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52"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52" w:before="0" w:after="283"/>
              <w:jc w:val="right"/>
              <w:rPr>
                <w:rFonts w:ascii="Times New Roman;serif" w:hAnsi="Times New Roman;serif"/>
                <w:b w:val="false"/>
                <w:color w:val="000000"/>
                <w:sz w:val="20"/>
              </w:rPr>
            </w:pPr>
            <w:r>
              <w:rPr>
                <w:rFonts w:ascii="Times New Roman;serif" w:hAnsi="Times New Roman;serif"/>
                <w:b w:val="false"/>
                <w:color w:val="000000"/>
                <w:sz w:val="20"/>
              </w:rPr>
              <w:t>13,124 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52"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52" w:before="0" w:after="283"/>
              <w:jc w:val="right"/>
              <w:rPr>
                <w:rFonts w:ascii="Times New Roman;serif" w:hAnsi="Times New Roman;serif"/>
                <w:b w:val="false"/>
                <w:color w:val="000000"/>
                <w:sz w:val="20"/>
              </w:rPr>
            </w:pPr>
            <w:r>
              <w:rPr>
                <w:rFonts w:ascii="Times New Roman;serif" w:hAnsi="Times New Roman;serif"/>
                <w:b w:val="false"/>
                <w:color w:val="000000"/>
                <w:sz w:val="20"/>
              </w:rPr>
              <w:t>(13,427)</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00" w:after="283"/>
        <w:jc w:val="left"/>
        <w:rPr>
          <w:rFonts w:ascii="Times New Roman;serif" w:hAnsi="Times New Roman;serif"/>
          <w:b/>
          <w:i/>
          <w:color w:val="000000"/>
          <w:sz w:val="20"/>
        </w:rPr>
      </w:pPr>
      <w:r>
        <w:rPr>
          <w:rFonts w:ascii="Times New Roman;serif" w:hAnsi="Times New Roman;serif"/>
          <w:b/>
          <w:i/>
          <w:color w:val="000000"/>
          <w:sz w:val="20"/>
        </w:rPr>
        <w:t>Cash Used in Operating Activities</w:t>
      </w:r>
    </w:p>
    <w:p>
      <w:pPr>
        <w:pStyle w:val="TextBody"/>
        <w:bidi w:val="0"/>
        <w:spacing w:lineRule="auto" w:line="288" w:before="20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Net cash used in operating activities was $27.0 million for the three months ended March 31, 2026, compared to $36.7 million for the three months ended March 31, 2025. The decrease was primarily driven by a decrease in net loss for the three months ended March 31, 2026; partially offset by a decrease in net changes in our operating assets and liabilities primarily related to a decrease in net changes in accounts payable.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8">
                <wp:simplePos x="0" y="0"/>
                <wp:positionH relativeFrom="character">
                  <wp:align>left</wp:align>
                </wp:positionH>
                <wp:positionV relativeFrom="line">
                  <wp:posOffset>635</wp:posOffset>
                </wp:positionV>
                <wp:extent cx="6480175" cy="146685"/>
                <wp:effectExtent l="0" t="0" r="0" b="0"/>
                <wp:wrapNone/>
                <wp:docPr id="27" name="Frame2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25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25</w:t>
                      </w:r>
                    </w:p>
                  </w:txbxContent>
                </v:textbox>
                <w10:wrap type="none"/>
              </v:rect>
            </w:pict>
          </mc:Fallback>
        </mc:AlternateContent>
      </w:r>
    </w:p>
    <w:p>
      <w:pPr>
        <w:pStyle w:val="TextBody"/>
        <w:bidi w:val="0"/>
        <w:spacing w:lineRule="auto" w:line="288" w:before="0" w:after="0"/>
        <w:jc w:val="left"/>
        <w:rPr/>
      </w:pPr>
      <w:hyperlink w:anchor="i7f5619487a1149c59a3dd36fee75a584_7">
        <w:r>
          <w:rPr>
            <w:rStyle w:val="InternetLink"/>
            <w:rFonts w:ascii="Times New Roman;serif" w:hAnsi="Times New Roman;serif"/>
            <w:b w:val="false"/>
            <w:color w:val="0000FF"/>
            <w:sz w:val="20"/>
            <w:u w:val="single"/>
          </w:rPr>
          <w:t>Table of Contents</w:t>
        </w:r>
      </w:hyperlink>
    </w:p>
    <w:p>
      <w:pPr>
        <w:pStyle w:val="TextBody"/>
        <w:bidi w:val="0"/>
        <w:spacing w:lineRule="auto" w:line="288" w:before="200" w:after="283"/>
        <w:jc w:val="left"/>
        <w:rPr>
          <w:rFonts w:ascii="Times New Roman;serif" w:hAnsi="Times New Roman;serif"/>
          <w:b/>
          <w:i/>
          <w:color w:val="000000"/>
          <w:sz w:val="20"/>
        </w:rPr>
      </w:pPr>
      <w:r>
        <w:rPr>
          <w:rFonts w:ascii="Times New Roman;serif" w:hAnsi="Times New Roman;serif"/>
          <w:b/>
          <w:i/>
          <w:color w:val="000000"/>
          <w:sz w:val="20"/>
        </w:rPr>
        <w:t>Cash Provided by Investing Activities</w:t>
      </w:r>
    </w:p>
    <w:p>
      <w:pPr>
        <w:pStyle w:val="TextBody"/>
        <w:bidi w:val="0"/>
        <w:spacing w:lineRule="auto" w:line="288" w:before="20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Net cash provided by investing activities was $24.0 million for the three months ended March 31, 2026, compared to $49.4 million for the three months ended March 31, 2025. The decrease was primarily driven by a decrease in proceeds from maturities of marketable securities and higher cash utilized for purchases of marketable securities.</w:t>
      </w:r>
    </w:p>
    <w:p>
      <w:pPr>
        <w:pStyle w:val="TextBody"/>
        <w:bidi w:val="0"/>
        <w:spacing w:lineRule="auto" w:line="288" w:before="200" w:after="283"/>
        <w:jc w:val="left"/>
        <w:rPr>
          <w:rFonts w:ascii="Times New Roman;serif" w:hAnsi="Times New Roman;serif"/>
          <w:b/>
          <w:i/>
          <w:color w:val="000000"/>
          <w:sz w:val="20"/>
        </w:rPr>
      </w:pPr>
      <w:r>
        <w:rPr>
          <w:rFonts w:ascii="Times New Roman;serif" w:hAnsi="Times New Roman;serif"/>
          <w:b/>
          <w:i/>
          <w:color w:val="000000"/>
          <w:sz w:val="20"/>
        </w:rPr>
        <w:t>Cash Provided by Financing Activities</w:t>
      </w:r>
    </w:p>
    <w:p>
      <w:pPr>
        <w:pStyle w:val="TextBody"/>
        <w:bidi w:val="0"/>
        <w:spacing w:lineRule="auto" w:line="288" w:before="20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Net cash provided by financing activities was $2.7 million for the three months ended March 31, 2026, compared to $0.5 million for the three months ended March 31, 2025. The increase was primarily driven by proceeds from the issuance of common stock under the ATM Sales Agreement, net of offering expenses, during the three months ended March 31, 2026. We did not sell any common stock pursuant to the ATM Sales Agreement during the three months ended March 31, 2025.</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83"/>
        <w:jc w:val="left"/>
        <w:rPr>
          <w:rFonts w:ascii="Times New Roman;serif" w:hAnsi="Times New Roman;serif"/>
          <w:b/>
          <w:color w:val="000000"/>
          <w:sz w:val="20"/>
        </w:rPr>
      </w:pPr>
      <w:r>
        <w:rPr>
          <w:rFonts w:ascii="Times New Roman;serif" w:hAnsi="Times New Roman;serif"/>
          <w:b/>
          <w:color w:val="000000"/>
          <w:sz w:val="20"/>
        </w:rPr>
        <w:t>Critical Accounting Policies and Significant Judgments and Estimates</w:t>
      </w:r>
    </w:p>
    <w:p>
      <w:pPr>
        <w:pStyle w:val="TextBody"/>
        <w:bidi w:val="0"/>
        <w:spacing w:lineRule="auto" w:line="288" w:before="20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Our critical accounting policies are disclosed in our audited consolidated financial statements for the year ended December 31, 2025, and the related notes included in our Form 10-K. Since the date of such financial statements, there have been no material changes to our significant accounting policies. There have been no material changes to our critical accounting estimates as compared to those disclosed in our Form 10-K.</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83"/>
        <w:jc w:val="left"/>
        <w:rPr>
          <w:rFonts w:ascii="Times New Roman;serif" w:hAnsi="Times New Roman;serif"/>
          <w:b/>
          <w:color w:val="000000"/>
          <w:sz w:val="20"/>
        </w:rPr>
      </w:pPr>
      <w:r>
        <w:rPr>
          <w:rFonts w:ascii="Times New Roman;serif" w:hAnsi="Times New Roman;serif"/>
          <w:b/>
          <w:color w:val="000000"/>
          <w:sz w:val="20"/>
        </w:rPr>
        <w:t>Recently Issued Accounting Pronouncements</w:t>
      </w:r>
    </w:p>
    <w:p>
      <w:pPr>
        <w:pStyle w:val="TextBody"/>
        <w:bidi w:val="0"/>
        <w:spacing w:lineRule="auto" w:line="288" w:before="20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See Note 2 to our unaudited condensed consolidated financial statements included elsewhere in this Form 10-Q for additional information.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83"/>
        <w:jc w:val="left"/>
        <w:rPr>
          <w:rFonts w:ascii="Times New Roman;serif" w:hAnsi="Times New Roman;serif"/>
          <w:b/>
          <w:color w:val="000000"/>
          <w:sz w:val="20"/>
        </w:rPr>
      </w:pPr>
      <w:r>
        <w:rPr>
          <w:rFonts w:ascii="Times New Roman;serif" w:hAnsi="Times New Roman;serif"/>
          <w:b/>
          <w:color w:val="000000"/>
          <w:sz w:val="20"/>
        </w:rPr>
        <w:t>Item 3. Quantitative and Qualitative Disclosures about Market Risk.</w:t>
      </w:r>
    </w:p>
    <w:p>
      <w:pPr>
        <w:pStyle w:val="TextBody"/>
        <w:bidi w:val="0"/>
        <w:spacing w:lineRule="auto" w:line="288" w:before="20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There have been no material changes to our market risk during the three months ended March 31, 2026. For a discussion of our exposure to market risk, refer to the section titled “Quantitative and Qualitative Disclosures About Market Risk” in our Form 10-K.</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83"/>
        <w:jc w:val="left"/>
        <w:rPr>
          <w:rFonts w:ascii="Times New Roman;serif" w:hAnsi="Times New Roman;serif"/>
          <w:b/>
          <w:color w:val="000000"/>
          <w:sz w:val="20"/>
        </w:rPr>
      </w:pPr>
      <w:r>
        <w:rPr>
          <w:rFonts w:ascii="Times New Roman;serif" w:hAnsi="Times New Roman;serif"/>
          <w:b/>
          <w:color w:val="000000"/>
          <w:sz w:val="20"/>
        </w:rPr>
        <w:t>Item 4. Controls and Procedures.</w:t>
      </w:r>
    </w:p>
    <w:p>
      <w:pPr>
        <w:pStyle w:val="TextBody"/>
        <w:bidi w:val="0"/>
        <w:spacing w:lineRule="auto" w:line="288" w:before="200" w:after="283"/>
        <w:jc w:val="left"/>
        <w:rPr>
          <w:rFonts w:ascii="Times New Roman;serif" w:hAnsi="Times New Roman;serif"/>
          <w:b/>
          <w:i/>
          <w:color w:val="000000"/>
          <w:sz w:val="20"/>
        </w:rPr>
      </w:pPr>
      <w:r>
        <w:rPr>
          <w:rFonts w:ascii="Times New Roman;serif" w:hAnsi="Times New Roman;serif"/>
          <w:b/>
          <w:i/>
          <w:color w:val="000000"/>
          <w:sz w:val="20"/>
        </w:rPr>
        <w:t>Management’s Evaluation of our Disclosure Controls and Procedures</w:t>
      </w:r>
    </w:p>
    <w:p>
      <w:pPr>
        <w:pStyle w:val="TextBody"/>
        <w:bidi w:val="0"/>
        <w:spacing w:lineRule="auto" w:line="288" w:before="20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We maintain disclosure controls and procedures that are designed to ensure that information required to be disclosed in the reports that we file or submit under the Exchange Act is (i) recorded, processed, summarized, and reported within the time periods specified in the SEC’s rules and forms, and (ii) accumulated and communicated to our management, including our principal executive officer and principal financial officer, to allow timely decisions regarding required disclosure.</w:t>
      </w:r>
    </w:p>
    <w:p>
      <w:pPr>
        <w:pStyle w:val="TextBody"/>
        <w:bidi w:val="0"/>
        <w:spacing w:lineRule="auto" w:line="288" w:before="20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As of March 31, 2026, our management, with the participation of our principal executive officer and principal financial officer, evaluated the effectiveness of our disclosure controls and procedures (as defined in Rules 13a-15(e) and 15d-15(e) under the Exchange Act). Our management recognizes that any controls and procedures, no matter how well designed and operated, can provide only reasonable assurance of achieving their objectives, and our management necessarily applies its judgment in evaluating the cost-benefit relationship of possible controls and procedures. Our principal executive officer and principal financial officer have concluded that, based on the evaluation described above, as of March 31, 2026, our disclosure controls and procedures were effective.</w:t>
      </w:r>
    </w:p>
    <w:p>
      <w:pPr>
        <w:pStyle w:val="TextBody"/>
        <w:bidi w:val="0"/>
        <w:spacing w:lineRule="auto" w:line="288" w:before="200" w:after="283"/>
        <w:jc w:val="left"/>
        <w:rPr>
          <w:rFonts w:ascii="Times New Roman;serif" w:hAnsi="Times New Roman;serif"/>
          <w:b/>
          <w:i/>
          <w:color w:val="000000"/>
          <w:sz w:val="20"/>
        </w:rPr>
      </w:pPr>
      <w:r>
        <w:rPr>
          <w:rFonts w:ascii="Times New Roman;serif" w:hAnsi="Times New Roman;serif"/>
          <w:b/>
          <w:i/>
          <w:color w:val="000000"/>
          <w:sz w:val="20"/>
        </w:rPr>
        <w:t>Changes in Internal Control over Financial Reporting</w:t>
      </w:r>
    </w:p>
    <w:p>
      <w:pPr>
        <w:pStyle w:val="TextBody"/>
        <w:bidi w:val="0"/>
        <w:spacing w:lineRule="auto" w:line="288" w:before="20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There were no changes in our internal control over financial reporting identified in management’s evaluation pursuant to Rules 13a-15(f) or 15d-15(f) under the Exchange Act during the three months ended March 31, 2026, that materially affected, or are reasonably likely to materially affect, our internal control over financial reporting.</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9">
                <wp:simplePos x="0" y="0"/>
                <wp:positionH relativeFrom="character">
                  <wp:align>left</wp:align>
                </wp:positionH>
                <wp:positionV relativeFrom="line">
                  <wp:posOffset>635</wp:posOffset>
                </wp:positionV>
                <wp:extent cx="6480175" cy="146685"/>
                <wp:effectExtent l="0" t="0" r="0" b="0"/>
                <wp:wrapNone/>
                <wp:docPr id="28" name="Frame2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26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26</w:t>
                      </w:r>
                    </w:p>
                  </w:txbxContent>
                </v:textbox>
                <w10:wrap type="none"/>
              </v:rect>
            </w:pict>
          </mc:Fallback>
        </mc:AlternateContent>
      </w:r>
    </w:p>
    <w:p>
      <w:pPr>
        <w:pStyle w:val="TextBody"/>
        <w:bidi w:val="0"/>
        <w:spacing w:lineRule="auto" w:line="288" w:before="0" w:after="0"/>
        <w:jc w:val="left"/>
        <w:rPr/>
      </w:pPr>
      <w:hyperlink w:anchor="i7f5619487a1149c59a3dd36fee75a584_7">
        <w:r>
          <w:rPr>
            <w:rStyle w:val="InternetLink"/>
            <w:rFonts w:ascii="Times New Roman;serif" w:hAnsi="Times New Roman;serif"/>
            <w:b w:val="false"/>
            <w:color w:val="0000FF"/>
            <w:sz w:val="20"/>
            <w:u w:val="single"/>
          </w:rPr>
          <w:t>Table of Contents</w:t>
        </w:r>
      </w:hyperlink>
    </w:p>
    <w:p>
      <w:pPr>
        <w:pStyle w:val="TextBody"/>
        <w:bidi w:val="0"/>
        <w:spacing w:lineRule="auto" w:line="288" w:before="200" w:after="283"/>
        <w:jc w:val="center"/>
        <w:rPr>
          <w:rFonts w:ascii="Times New Roman;serif" w:hAnsi="Times New Roman;serif"/>
          <w:b/>
          <w:color w:val="000000"/>
          <w:sz w:val="20"/>
        </w:rPr>
      </w:pPr>
      <w:r>
        <w:rPr>
          <w:rFonts w:ascii="Times New Roman;serif" w:hAnsi="Times New Roman;serif"/>
          <w:b/>
          <w:color w:val="000000"/>
          <w:sz w:val="20"/>
        </w:rPr>
        <w:t>PART II—OTHER INFORMATION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83"/>
        <w:jc w:val="left"/>
        <w:rPr>
          <w:rFonts w:ascii="Times New Roman;serif" w:hAnsi="Times New Roman;serif"/>
          <w:b/>
          <w:color w:val="000000"/>
          <w:sz w:val="20"/>
        </w:rPr>
      </w:pPr>
      <w:r>
        <w:rPr>
          <w:rFonts w:ascii="Times New Roman;serif" w:hAnsi="Times New Roman;serif"/>
          <w:b/>
          <w:color w:val="000000"/>
          <w:sz w:val="20"/>
        </w:rPr>
        <w:t>Item 1. Legal Proceedings.</w:t>
      </w:r>
    </w:p>
    <w:p>
      <w:pPr>
        <w:pStyle w:val="TextBody"/>
        <w:bidi w:val="0"/>
        <w:spacing w:lineRule="auto" w:line="288" w:before="20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From time to time, we may become involved in litigation arising in the ordinary course of business. Regardless of the outcome, litigation can have a material adverse effect on us due to defense and settlement costs, diversion of our management resources, and other factors. We are not currently subject to any material legal proceedings.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83"/>
        <w:jc w:val="left"/>
        <w:rPr>
          <w:rFonts w:ascii="Times New Roman;serif" w:hAnsi="Times New Roman;serif"/>
          <w:b/>
          <w:color w:val="000000"/>
          <w:sz w:val="20"/>
        </w:rPr>
      </w:pPr>
      <w:r>
        <w:rPr>
          <w:rFonts w:ascii="Times New Roman;serif" w:hAnsi="Times New Roman;serif"/>
          <w:b/>
          <w:color w:val="000000"/>
          <w:sz w:val="20"/>
        </w:rPr>
        <w:t>Item 1A. Risk Factors.</w:t>
      </w:r>
    </w:p>
    <w:p>
      <w:pPr>
        <w:pStyle w:val="TextBody"/>
        <w:bidi w:val="0"/>
        <w:spacing w:lineRule="auto" w:line="288" w:before="20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There have been no material changes to the Risk Factors previously disclosed in Item 1A. to Part I of our Form 10-K. The risks described in our Form 10-K are not the only risks facing our company. Additional risks and uncertainties not currently known to us or that we currently deem to be immaterial also may materially adversely affect our business, financial condition, and/or operating results.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83"/>
        <w:jc w:val="left"/>
        <w:rPr>
          <w:rFonts w:ascii="Times New Roman;serif" w:hAnsi="Times New Roman;serif"/>
          <w:b/>
          <w:color w:val="000000"/>
          <w:sz w:val="20"/>
        </w:rPr>
      </w:pPr>
      <w:r>
        <w:rPr>
          <w:rFonts w:ascii="Times New Roman;serif" w:hAnsi="Times New Roman;serif"/>
          <w:b/>
          <w:color w:val="000000"/>
          <w:sz w:val="20"/>
        </w:rPr>
        <w:t>Item 2. Unregistered Sales of Equity Securities, Use of Proceeds, and Issuer Purchases of Equity Securities.</w:t>
      </w:r>
    </w:p>
    <w:p>
      <w:pPr>
        <w:pStyle w:val="TextBody"/>
        <w:bidi w:val="0"/>
        <w:spacing w:lineRule="auto" w:line="288" w:before="200" w:after="283"/>
        <w:jc w:val="left"/>
        <w:rPr>
          <w:rFonts w:ascii="Times New Roman;serif" w:hAnsi="Times New Roman;serif"/>
          <w:b/>
          <w:i/>
          <w:color w:val="000000"/>
          <w:sz w:val="20"/>
        </w:rPr>
      </w:pPr>
      <w:r>
        <w:rPr>
          <w:rFonts w:ascii="Times New Roman;serif" w:hAnsi="Times New Roman;serif"/>
          <w:b/>
          <w:i/>
          <w:color w:val="000000"/>
          <w:sz w:val="20"/>
        </w:rPr>
        <w:t>Unregistered Sales of Equity Securities during the Three Months Ended March 31, 2026</w:t>
      </w:r>
    </w:p>
    <w:p>
      <w:pPr>
        <w:pStyle w:val="TextBody"/>
        <w:bidi w:val="0"/>
        <w:spacing w:lineRule="auto" w:line="288" w:before="20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There were no unregistered sales of equity securities during the three months ended March 31, 2026.</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83"/>
        <w:jc w:val="left"/>
        <w:rPr>
          <w:rFonts w:ascii="Times New Roman;serif" w:hAnsi="Times New Roman;serif"/>
          <w:b/>
          <w:color w:val="000000"/>
          <w:sz w:val="20"/>
        </w:rPr>
      </w:pPr>
      <w:r>
        <w:rPr>
          <w:rFonts w:ascii="Times New Roman;serif" w:hAnsi="Times New Roman;serif"/>
          <w:b/>
          <w:color w:val="000000"/>
          <w:sz w:val="20"/>
        </w:rPr>
        <w:t>Item 5. Other Information</w:t>
      </w:r>
    </w:p>
    <w:p>
      <w:pPr>
        <w:pStyle w:val="TextBody"/>
        <w:bidi w:val="0"/>
        <w:spacing w:lineRule="auto" w:line="288" w:before="200" w:after="283"/>
        <w:jc w:val="left"/>
        <w:rPr>
          <w:rFonts w:ascii="Times New Roman;serif" w:hAnsi="Times New Roman;serif"/>
          <w:b/>
          <w:i/>
          <w:color w:val="000000"/>
          <w:sz w:val="20"/>
        </w:rPr>
      </w:pPr>
      <w:r>
        <w:rPr>
          <w:rFonts w:ascii="Times New Roman;serif" w:hAnsi="Times New Roman;serif"/>
          <w:b/>
          <w:i/>
          <w:color w:val="000000"/>
          <w:sz w:val="20"/>
        </w:rPr>
        <w:t>Rule 10b5-1 Trading Arrangements</w:t>
      </w:r>
    </w:p>
    <w:p>
      <w:pPr>
        <w:pStyle w:val="TextBody"/>
        <w:bidi w:val="0"/>
        <w:spacing w:lineRule="auto" w:line="288" w:before="20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On February 25, 2026, Tim Kelly, M.B.A., our chief technology officer, entered into a “Rule 10b5-1 trading arrangement” (as that term is defined in Regulation S-K, Item 408) that is intended to qualify as an “eligible sell-to-cover transaction” (as described in Rule 10b5-1(c)(1)(ii)(D)(3) under the Securities Exchange Act of 1934, as amended (“Exchange Act”)) and is intended to satisfy the affirmative defense in Rule 10b5-1(c) under the Exchange Act. This sell-to-cover arrangement applies to restricted stock units or performance-based stock units (collectively, “RSUs”), whether vesting is based on the passage of time and/or the achievement of performance goals, that were previously granted or that could in the future be granted by us from time to time (this type of arrangement, with the attributes described in this paragraph, is referred to as an “RSU Sell-to-Cover Instruction”). An RSU Sell-to-Cover Instruction provides for the automatic sale of shares of common stock that would otherwise be issuable on each settlement date of a covered RSU in an amount necessary to satisfy the applicable tax withholding obligations, with the proceeds of the sale delivered to us in satisfaction of the applicable tax withholding obligations. The number of shares of common stock that will be sold under an RSU Sell-to-Cover Instruction is not currently determinable as the number will vary based on the extent to which vesting conditions are satisfied, the market price of our common stock at the time of settlement, and the potential future grant of RSUs subject to a RSU Sell-to-Cover Instruction. An RSU Sell-to-Cover Instruction will remain in place indefinitely unless revoked in writing (including as to any particular sell-to-cover sale, as to which the officer may elect to pay the applicable withholding taxes in cash) in accordance with its terms.</w:t>
      </w:r>
    </w:p>
    <w:p>
      <w:pPr>
        <w:pStyle w:val="TextBody"/>
        <w:bidi w:val="0"/>
        <w:spacing w:lineRule="auto" w:line="288" w:before="20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Except as described above, no other Section 16 officer or director adopted or terminated any Rule 10b5-1 trading arrangement or non-Rule 10b5-1 trading arrangement (as that term is defined in Regulation S-K, Item 408) during the quarter ended March 31, 2026.</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0">
                <wp:simplePos x="0" y="0"/>
                <wp:positionH relativeFrom="character">
                  <wp:align>left</wp:align>
                </wp:positionH>
                <wp:positionV relativeFrom="line">
                  <wp:posOffset>635</wp:posOffset>
                </wp:positionV>
                <wp:extent cx="6480175" cy="146685"/>
                <wp:effectExtent l="0" t="0" r="0" b="0"/>
                <wp:wrapNone/>
                <wp:docPr id="29" name="Frame2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27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27</w:t>
                      </w:r>
                    </w:p>
                  </w:txbxContent>
                </v:textbox>
                <w10:wrap type="none"/>
              </v:rect>
            </w:pict>
          </mc:Fallback>
        </mc:AlternateContent>
      </w:r>
    </w:p>
    <w:p>
      <w:pPr>
        <w:pStyle w:val="TextBody"/>
        <w:bidi w:val="0"/>
        <w:spacing w:lineRule="auto" w:line="288" w:before="0" w:after="0"/>
        <w:jc w:val="left"/>
        <w:rPr/>
      </w:pPr>
      <w:hyperlink w:anchor="i7f5619487a1149c59a3dd36fee75a584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Item 6. Exhibits.</w:t>
      </w:r>
    </w:p>
    <w:tbl>
      <w:tblPr>
        <w:tblW w:w="10205" w:type="dxa"/>
        <w:jc w:val="left"/>
        <w:tblInd w:w="0" w:type="dxa"/>
        <w:tblLayout w:type="fixed"/>
        <w:tblCellMar>
          <w:top w:w="28" w:type="dxa"/>
          <w:left w:w="28" w:type="dxa"/>
          <w:bottom w:w="28" w:type="dxa"/>
          <w:right w:w="28" w:type="dxa"/>
        </w:tblCellMar>
      </w:tblPr>
      <w:tblGrid>
        <w:gridCol w:w="297"/>
        <w:gridCol w:w="262"/>
        <w:gridCol w:w="263"/>
        <w:gridCol w:w="109"/>
        <w:gridCol w:w="109"/>
        <w:gridCol w:w="109"/>
        <w:gridCol w:w="2708"/>
        <w:gridCol w:w="2615"/>
        <w:gridCol w:w="3733"/>
      </w:tblGrid>
      <w:tr>
        <w:trPr/>
        <w:tc>
          <w:tcPr>
            <w:tcW w:w="297" w:type="dxa"/>
            <w:tcBorders/>
            <w:vAlign w:val="center"/>
          </w:tcPr>
          <w:p>
            <w:pPr>
              <w:pStyle w:val="TableContents"/>
              <w:bidi w:val="0"/>
              <w:spacing w:before="0" w:after="283"/>
              <w:jc w:val="left"/>
              <w:rPr>
                <w:sz w:val="4"/>
                <w:szCs w:val="4"/>
              </w:rPr>
            </w:pPr>
            <w:r>
              <w:rPr>
                <w:sz w:val="4"/>
                <w:szCs w:val="4"/>
              </w:rPr>
            </w:r>
          </w:p>
        </w:tc>
        <w:tc>
          <w:tcPr>
            <w:tcW w:w="262"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08" w:type="dxa"/>
            <w:tcBorders/>
            <w:vAlign w:val="center"/>
          </w:tcPr>
          <w:p>
            <w:pPr>
              <w:pStyle w:val="TableContents"/>
              <w:bidi w:val="0"/>
              <w:spacing w:before="0" w:after="283"/>
              <w:jc w:val="left"/>
              <w:rPr>
                <w:sz w:val="4"/>
                <w:szCs w:val="4"/>
              </w:rPr>
            </w:pPr>
            <w:r>
              <w:rPr>
                <w:sz w:val="4"/>
                <w:szCs w:val="4"/>
              </w:rPr>
            </w:r>
          </w:p>
        </w:tc>
        <w:tc>
          <w:tcPr>
            <w:tcW w:w="2615" w:type="dxa"/>
            <w:tcBorders/>
            <w:vAlign w:val="center"/>
          </w:tcPr>
          <w:p>
            <w:pPr>
              <w:pStyle w:val="TableContents"/>
              <w:bidi w:val="0"/>
              <w:spacing w:before="0" w:after="283"/>
              <w:jc w:val="left"/>
              <w:rPr>
                <w:sz w:val="4"/>
                <w:szCs w:val="4"/>
              </w:rPr>
            </w:pPr>
            <w:r>
              <w:rPr>
                <w:sz w:val="4"/>
                <w:szCs w:val="4"/>
              </w:rPr>
            </w:r>
          </w:p>
        </w:tc>
        <w:tc>
          <w:tcPr>
            <w:tcW w:w="3733" w:type="dxa"/>
            <w:tcBorders/>
            <w:vAlign w:val="center"/>
          </w:tcPr>
          <w:p>
            <w:pPr>
              <w:pStyle w:val="TableContents"/>
              <w:bidi w:val="0"/>
              <w:spacing w:before="0" w:after="283"/>
              <w:jc w:val="left"/>
              <w:rPr>
                <w:sz w:val="4"/>
                <w:szCs w:val="4"/>
              </w:rPr>
            </w:pPr>
            <w:r>
              <w:rPr>
                <w:sz w:val="4"/>
                <w:szCs w:val="4"/>
              </w:rPr>
            </w:r>
          </w:p>
        </w:tc>
      </w:tr>
      <w:tr>
        <w:trPr/>
        <w:tc>
          <w:tcPr>
            <w:tcW w:w="822" w:type="dxa"/>
            <w:gridSpan w:val="3"/>
            <w:tcBorders/>
            <w:tcMar>
              <w:top w:w="0" w:type="dxa"/>
              <w:left w:w="0" w:type="dxa"/>
              <w:bottom w:w="0" w:type="dxa"/>
              <w:right w:w="0" w:type="dxa"/>
            </w:tcMar>
            <w:vAlign w:val="center"/>
          </w:tcPr>
          <w:p>
            <w:pPr>
              <w:pStyle w:val="TableContents"/>
              <w:bidi w:val="0"/>
              <w:spacing w:lineRule="auto" w:line="252" w:before="14" w:after="283"/>
              <w:jc w:val="center"/>
              <w:rPr>
                <w:rFonts w:ascii="Times New Roman;serif" w:hAnsi="Times New Roman;serif"/>
                <w:b/>
                <w:color w:val="000000"/>
                <w:sz w:val="16"/>
              </w:rPr>
            </w:pPr>
            <w:r>
              <w:rPr>
                <w:rFonts w:ascii="Times New Roman;serif" w:hAnsi="Times New Roman;serif"/>
                <w:b/>
                <w:color w:val="000000"/>
                <w:sz w:val="16"/>
              </w:rPr>
              <w:t>Exhibit</w:t>
            </w:r>
          </w:p>
          <w:p>
            <w:pPr>
              <w:pStyle w:val="TableContents"/>
              <w:bidi w:val="0"/>
              <w:spacing w:lineRule="auto" w:line="252" w:before="14" w:after="283"/>
              <w:jc w:val="center"/>
              <w:rPr>
                <w:rFonts w:ascii="Times New Roman;serif" w:hAnsi="Times New Roman;serif"/>
                <w:b/>
                <w:color w:val="000000"/>
                <w:sz w:val="16"/>
              </w:rPr>
            </w:pPr>
            <w:r>
              <w:rPr>
                <w:rFonts w:ascii="Times New Roman;serif" w:hAnsi="Times New Roman;serif"/>
                <w:b/>
                <w:color w:val="000000"/>
                <w:sz w:val="16"/>
              </w:rPr>
              <w:t>Number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56" w:type="dxa"/>
            <w:gridSpan w:val="3"/>
            <w:tcBorders/>
            <w:tcMar>
              <w:top w:w="0" w:type="dxa"/>
              <w:left w:w="0" w:type="dxa"/>
              <w:bottom w:w="0" w:type="dxa"/>
              <w:right w:w="0" w:type="dxa"/>
            </w:tcMar>
            <w:vAlign w:val="center"/>
          </w:tcPr>
          <w:p>
            <w:pPr>
              <w:pStyle w:val="TableContents"/>
              <w:bidi w:val="0"/>
              <w:spacing w:lineRule="auto" w:line="252" w:before="0" w:after="283"/>
              <w:jc w:val="center"/>
              <w:rPr>
                <w:rFonts w:ascii="Times New Roman;serif" w:hAnsi="Times New Roman;serif"/>
                <w:b/>
                <w:color w:val="000000"/>
                <w:sz w:val="16"/>
              </w:rPr>
            </w:pPr>
            <w:r>
              <w:rPr>
                <w:rFonts w:ascii="Times New Roman;serif" w:hAnsi="Times New Roman;serif"/>
                <w:b/>
                <w:color w:val="000000"/>
                <w:sz w:val="16"/>
              </w:rPr>
              <w:t>Description</w:t>
            </w:r>
          </w:p>
        </w:tc>
      </w:tr>
      <w:tr>
        <w:trPr/>
        <w:tc>
          <w:tcPr>
            <w:tcW w:w="82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52" w:before="0" w:after="283"/>
              <w:jc w:val="left"/>
              <w:rPr>
                <w:rFonts w:ascii="Times New Roman;serif" w:hAnsi="Times New Roman;serif"/>
                <w:b w:val="false"/>
                <w:color w:val="000000"/>
                <w:sz w:val="20"/>
              </w:rPr>
            </w:pPr>
            <w:r>
              <w:rPr>
                <w:rFonts w:ascii="Times New Roman;serif" w:hAnsi="Times New Roman;serif"/>
                <w:b w:val="false"/>
                <w:color w:val="000000"/>
                <w:sz w:val="20"/>
              </w:rPr>
              <w:t>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5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0"/>
              <w:jc w:val="left"/>
              <w:rPr/>
            </w:pPr>
            <w:hyperlink r:id="rId2">
              <w:r>
                <w:rPr>
                  <w:rStyle w:val="InternetLink"/>
                  <w:rFonts w:ascii="Times New Roman;serif" w:hAnsi="Times New Roman;serif"/>
                  <w:b w:val="false"/>
                  <w:color w:val="0000FF"/>
                  <w:sz w:val="20"/>
                  <w:u w:val="single"/>
                </w:rPr>
                <w:t>Amended and Restated Certificate of Incorporation of Caribou Biosciences, Inc. (incorporated by reference to Exhibit 3.1 to the Current Report on Form 8-K (File No. 001-40631) filed by the Registrant with the SEC on July 28, 2021)</w:t>
              </w:r>
            </w:hyperlink>
          </w:p>
        </w:tc>
      </w:tr>
      <w:tr>
        <w:trPr/>
        <w:tc>
          <w:tcPr>
            <w:tcW w:w="822" w:type="dxa"/>
            <w:gridSpan w:val="3"/>
            <w:tcBorders/>
            <w:tcMar>
              <w:top w:w="0" w:type="dxa"/>
              <w:left w:w="0" w:type="dxa"/>
              <w:bottom w:w="0" w:type="dxa"/>
              <w:right w:w="0" w:type="dxa"/>
            </w:tcMar>
            <w:vAlign w:val="center"/>
          </w:tcPr>
          <w:p>
            <w:pPr>
              <w:pStyle w:val="TableContents"/>
              <w:bidi w:val="0"/>
              <w:spacing w:lineRule="auto" w:line="252" w:before="0" w:after="283"/>
              <w:jc w:val="left"/>
              <w:rPr>
                <w:rFonts w:ascii="Times New Roman;serif" w:hAnsi="Times New Roman;serif"/>
                <w:b w:val="false"/>
                <w:color w:val="000000"/>
                <w:sz w:val="20"/>
              </w:rPr>
            </w:pPr>
            <w:r>
              <w:rPr>
                <w:rFonts w:ascii="Times New Roman;serif" w:hAnsi="Times New Roman;serif"/>
                <w:b w:val="false"/>
                <w:color w:val="000000"/>
                <w:sz w:val="20"/>
              </w:rPr>
              <w:t>3.2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56"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r:id="rId3">
              <w:r>
                <w:rPr>
                  <w:rStyle w:val="InternetLink"/>
                  <w:rFonts w:ascii="Times New Roman;serif" w:hAnsi="Times New Roman;serif"/>
                  <w:b w:val="false"/>
                  <w:color w:val="0000FF"/>
                  <w:sz w:val="20"/>
                  <w:u w:val="single"/>
                </w:rPr>
                <w:t>Amended and Restated Bylaws of Caribou Biosciences, Inc. (incorporated by reference to Exhibit 3.2 to the Current Report on Form 8-K (File No. 001-40631) filed by the Registrant with the SEC on July 28, 2021)</w:t>
              </w:r>
            </w:hyperlink>
          </w:p>
        </w:tc>
      </w:tr>
      <w:tr>
        <w:trPr/>
        <w:tc>
          <w:tcPr>
            <w:tcW w:w="822" w:type="dxa"/>
            <w:gridSpan w:val="3"/>
            <w:tcBorders/>
            <w:tcMar>
              <w:top w:w="0" w:type="dxa"/>
              <w:left w:w="0" w:type="dxa"/>
              <w:bottom w:w="0" w:type="dxa"/>
              <w:right w:w="0" w:type="dxa"/>
            </w:tcMar>
            <w:vAlign w:val="center"/>
          </w:tcPr>
          <w:p>
            <w:pPr>
              <w:pStyle w:val="TableContents"/>
              <w:bidi w:val="0"/>
              <w:spacing w:lineRule="auto" w:line="252" w:before="0" w:after="283"/>
              <w:jc w:val="left"/>
              <w:rPr>
                <w:rFonts w:ascii="Times New Roman;serif" w:hAnsi="Times New Roman;serif"/>
                <w:b w:val="false"/>
                <w:color w:val="000000"/>
                <w:sz w:val="20"/>
              </w:rPr>
            </w:pPr>
            <w:r>
              <w:rPr>
                <w:rFonts w:ascii="Times New Roman;serif" w:hAnsi="Times New Roman;serif"/>
                <w:b w:val="false"/>
                <w:color w:val="000000"/>
                <w:sz w:val="20"/>
              </w:rPr>
              <w:t>4.1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56"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r:id="rId4">
              <w:r>
                <w:rPr>
                  <w:rStyle w:val="InternetLink"/>
                  <w:rFonts w:ascii="Times New Roman;serif" w:hAnsi="Times New Roman;serif"/>
                  <w:b w:val="false"/>
                  <w:color w:val="0000FF"/>
                  <w:sz w:val="20"/>
                  <w:u w:val="single"/>
                </w:rPr>
                <w:t>Description of Common Stock (incorporated by reference to Exhibit 4.1 to the Registrant’s Annual Report on Form 10-K for the fiscal year ended December 31, 2021 (File No. 001-40631), filed with the SEC on March 21, 2022)</w:t>
              </w:r>
            </w:hyperlink>
          </w:p>
        </w:tc>
      </w:tr>
      <w:tr>
        <w:trPr/>
        <w:tc>
          <w:tcPr>
            <w:tcW w:w="822" w:type="dxa"/>
            <w:gridSpan w:val="3"/>
            <w:tcBorders/>
            <w:tcMar>
              <w:top w:w="0" w:type="dxa"/>
              <w:left w:w="0" w:type="dxa"/>
              <w:bottom w:w="0" w:type="dxa"/>
              <w:right w:w="0" w:type="dxa"/>
            </w:tcMar>
            <w:vAlign w:val="center"/>
          </w:tcPr>
          <w:p>
            <w:pPr>
              <w:pStyle w:val="TableContents"/>
              <w:bidi w:val="0"/>
              <w:spacing w:lineRule="auto" w:line="252" w:before="0" w:after="283"/>
              <w:jc w:val="left"/>
              <w:rPr>
                <w:rFonts w:ascii="Times New Roman;serif" w:hAnsi="Times New Roman;serif"/>
                <w:b w:val="false"/>
                <w:color w:val="000000"/>
                <w:sz w:val="20"/>
              </w:rPr>
            </w:pPr>
            <w:r>
              <w:rPr>
                <w:rFonts w:ascii="Times New Roman;serif" w:hAnsi="Times New Roman;serif"/>
                <w:b w:val="false"/>
                <w:color w:val="000000"/>
                <w:sz w:val="20"/>
              </w:rPr>
              <w:t>31.1*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56"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crbu-20260331xexx311.htm">
              <w:r>
                <w:rPr>
                  <w:rStyle w:val="InternetLink"/>
                  <w:rFonts w:ascii="Times New Roman;serif" w:hAnsi="Times New Roman;serif"/>
                  <w:b w:val="false"/>
                  <w:color w:val="0000FF"/>
                  <w:sz w:val="20"/>
                  <w:u w:val="single"/>
                </w:rPr>
                <w:t>Certification of Principal Executive Officer Pursuant to Rules 13a-14(a) and 15d-14(a) under the Exchange Act, as Adopted Pursuant to Section 302 of the Sarbanes-Oxley Act of 2002.</w:t>
              </w:r>
            </w:hyperlink>
          </w:p>
        </w:tc>
      </w:tr>
      <w:tr>
        <w:trPr/>
        <w:tc>
          <w:tcPr>
            <w:tcW w:w="822" w:type="dxa"/>
            <w:gridSpan w:val="3"/>
            <w:tcBorders/>
            <w:tcMar>
              <w:top w:w="0" w:type="dxa"/>
              <w:left w:w="0" w:type="dxa"/>
              <w:bottom w:w="0" w:type="dxa"/>
              <w:right w:w="0" w:type="dxa"/>
            </w:tcMar>
            <w:vAlign w:val="center"/>
          </w:tcPr>
          <w:p>
            <w:pPr>
              <w:pStyle w:val="TableContents"/>
              <w:bidi w:val="0"/>
              <w:spacing w:lineRule="auto" w:line="252" w:before="0" w:after="283"/>
              <w:jc w:val="left"/>
              <w:rPr>
                <w:rFonts w:ascii="Times New Roman;serif" w:hAnsi="Times New Roman;serif"/>
                <w:b w:val="false"/>
                <w:color w:val="000000"/>
                <w:sz w:val="20"/>
              </w:rPr>
            </w:pPr>
            <w:r>
              <w:rPr>
                <w:rFonts w:ascii="Times New Roman;serif" w:hAnsi="Times New Roman;serif"/>
                <w:b w:val="false"/>
                <w:color w:val="000000"/>
                <w:sz w:val="20"/>
              </w:rPr>
              <w:t>31.2*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56"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crbu-20260331xexx312.htm">
              <w:r>
                <w:rPr>
                  <w:rStyle w:val="InternetLink"/>
                  <w:rFonts w:ascii="Times New Roman;serif" w:hAnsi="Times New Roman;serif"/>
                  <w:b w:val="false"/>
                  <w:color w:val="0000FF"/>
                  <w:sz w:val="20"/>
                  <w:u w:val="single"/>
                </w:rPr>
                <w:t>Certification of Principal Financial Officer Pursuant to Rules 13a-14(a) and 15d-14(a) under the Exchange Act, as Adopted Pursuant to Section 302 of the Sarbanes-Oxley Act of 2002.</w:t>
              </w:r>
            </w:hyperlink>
          </w:p>
        </w:tc>
      </w:tr>
      <w:tr>
        <w:trPr/>
        <w:tc>
          <w:tcPr>
            <w:tcW w:w="822" w:type="dxa"/>
            <w:gridSpan w:val="3"/>
            <w:tcBorders/>
            <w:tcMar>
              <w:top w:w="0" w:type="dxa"/>
              <w:left w:w="0" w:type="dxa"/>
              <w:bottom w:w="0" w:type="dxa"/>
              <w:right w:w="0" w:type="dxa"/>
            </w:tcMar>
            <w:vAlign w:val="center"/>
          </w:tcPr>
          <w:p>
            <w:pPr>
              <w:pStyle w:val="TableContents"/>
              <w:bidi w:val="0"/>
              <w:spacing w:lineRule="auto" w:line="252" w:before="0" w:after="283"/>
              <w:jc w:val="left"/>
              <w:rPr>
                <w:rFonts w:ascii="Times New Roman;serif" w:hAnsi="Times New Roman;serif"/>
                <w:b w:val="false"/>
                <w:color w:val="000000"/>
                <w:sz w:val="20"/>
              </w:rPr>
            </w:pPr>
            <w:r>
              <w:rPr>
                <w:rFonts w:ascii="Times New Roman;serif" w:hAnsi="Times New Roman;serif"/>
                <w:b w:val="false"/>
                <w:color w:val="000000"/>
                <w:sz w:val="20"/>
              </w:rPr>
              <w:t>32.1**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56"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crbu-20260331xexx321.htm">
              <w:r>
                <w:rPr>
                  <w:rStyle w:val="InternetLink"/>
                  <w:rFonts w:ascii="Times New Roman;serif" w:hAnsi="Times New Roman;serif"/>
                  <w:b w:val="false"/>
                  <w:color w:val="0000FF"/>
                  <w:sz w:val="20"/>
                  <w:u w:val="single"/>
                </w:rPr>
                <w:t>Certification of Principal Executive Officer Pursuant to 18 U.S.C. Section 1350, as Adopted Pursuant to Section 906 of the Sarbanes-Oxley Act of 2002.</w:t>
              </w:r>
            </w:hyperlink>
          </w:p>
        </w:tc>
      </w:tr>
      <w:tr>
        <w:trPr/>
        <w:tc>
          <w:tcPr>
            <w:tcW w:w="822" w:type="dxa"/>
            <w:gridSpan w:val="3"/>
            <w:tcBorders/>
            <w:tcMar>
              <w:top w:w="0" w:type="dxa"/>
              <w:left w:w="0" w:type="dxa"/>
              <w:bottom w:w="0" w:type="dxa"/>
              <w:right w:w="0" w:type="dxa"/>
            </w:tcMar>
            <w:vAlign w:val="center"/>
          </w:tcPr>
          <w:p>
            <w:pPr>
              <w:pStyle w:val="TableContents"/>
              <w:bidi w:val="0"/>
              <w:spacing w:lineRule="auto" w:line="252" w:before="0" w:after="283"/>
              <w:jc w:val="left"/>
              <w:rPr>
                <w:rFonts w:ascii="Times New Roman;serif" w:hAnsi="Times New Roman;serif"/>
                <w:b w:val="false"/>
                <w:color w:val="000000"/>
                <w:sz w:val="20"/>
              </w:rPr>
            </w:pPr>
            <w:r>
              <w:rPr>
                <w:rFonts w:ascii="Times New Roman;serif" w:hAnsi="Times New Roman;serif"/>
                <w:b w:val="false"/>
                <w:color w:val="000000"/>
                <w:sz w:val="20"/>
              </w:rPr>
              <w:t>32.2**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56"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crbu-20260331xexx322.htm">
              <w:r>
                <w:rPr>
                  <w:rStyle w:val="InternetLink"/>
                  <w:rFonts w:ascii="Times New Roman;serif" w:hAnsi="Times New Roman;serif"/>
                  <w:b w:val="false"/>
                  <w:color w:val="0000FF"/>
                  <w:sz w:val="20"/>
                  <w:u w:val="single"/>
                </w:rPr>
                <w:t>Certification of Principal Financial Officer Pursuant to 18 U.S.C. Section 1350, as Adopted Pursuant to Section 906 of the Sarbanes-Oxley Act of 2002.</w:t>
              </w:r>
            </w:hyperlink>
          </w:p>
        </w:tc>
      </w:tr>
      <w:tr>
        <w:trPr/>
        <w:tc>
          <w:tcPr>
            <w:tcW w:w="822" w:type="dxa"/>
            <w:gridSpan w:val="3"/>
            <w:tcBorders/>
            <w:tcMar>
              <w:top w:w="0" w:type="dxa"/>
              <w:left w:w="0" w:type="dxa"/>
              <w:bottom w:w="0" w:type="dxa"/>
              <w:right w:w="0" w:type="dxa"/>
            </w:tcMar>
            <w:vAlign w:val="center"/>
          </w:tcPr>
          <w:p>
            <w:pPr>
              <w:pStyle w:val="TableContents"/>
              <w:bidi w:val="0"/>
              <w:spacing w:lineRule="auto" w:line="252" w:before="0" w:after="283"/>
              <w:jc w:val="left"/>
              <w:rPr>
                <w:rFonts w:ascii="Times New Roman;serif" w:hAnsi="Times New Roman;serif"/>
                <w:b w:val="false"/>
                <w:color w:val="000000"/>
                <w:sz w:val="20"/>
              </w:rPr>
            </w:pPr>
            <w:r>
              <w:rPr>
                <w:rFonts w:ascii="Times New Roman;serif" w:hAnsi="Times New Roman;serif"/>
                <w:b w:val="false"/>
                <w:color w:val="000000"/>
                <w:sz w:val="20"/>
              </w:rPr>
              <w:t>101.INS*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56"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Inline XBRL Instance Document – the instance document does not appear in the Interactive Data File because XBRL tags are embedded within the Inline XBRL document.</w:t>
            </w:r>
          </w:p>
        </w:tc>
      </w:tr>
      <w:tr>
        <w:trPr/>
        <w:tc>
          <w:tcPr>
            <w:tcW w:w="822" w:type="dxa"/>
            <w:gridSpan w:val="3"/>
            <w:tcBorders/>
            <w:tcMar>
              <w:top w:w="0" w:type="dxa"/>
              <w:left w:w="0" w:type="dxa"/>
              <w:bottom w:w="0" w:type="dxa"/>
              <w:right w:w="0" w:type="dxa"/>
            </w:tcMar>
            <w:vAlign w:val="center"/>
          </w:tcPr>
          <w:p>
            <w:pPr>
              <w:pStyle w:val="TableContents"/>
              <w:bidi w:val="0"/>
              <w:spacing w:lineRule="auto" w:line="252" w:before="0" w:after="283"/>
              <w:jc w:val="left"/>
              <w:rPr>
                <w:rFonts w:ascii="Times New Roman;serif" w:hAnsi="Times New Roman;serif"/>
                <w:b w:val="false"/>
                <w:color w:val="000000"/>
                <w:sz w:val="20"/>
              </w:rPr>
            </w:pPr>
            <w:r>
              <w:rPr>
                <w:rFonts w:ascii="Times New Roman;serif" w:hAnsi="Times New Roman;serif"/>
                <w:b w:val="false"/>
                <w:color w:val="000000"/>
                <w:sz w:val="20"/>
              </w:rPr>
              <w:t>101.SCH*</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56" w:type="dxa"/>
            <w:gridSpan w:val="3"/>
            <w:tcBorders/>
            <w:tcMar>
              <w:top w:w="0" w:type="dxa"/>
              <w:left w:w="0" w:type="dxa"/>
              <w:bottom w:w="0" w:type="dxa"/>
              <w:right w:w="0" w:type="dxa"/>
            </w:tcMar>
            <w:vAlign w:val="center"/>
          </w:tcPr>
          <w:p>
            <w:pPr>
              <w:pStyle w:val="TableContents"/>
              <w:bidi w:val="0"/>
              <w:spacing w:lineRule="auto" w:line="252" w:before="0" w:after="283"/>
              <w:jc w:val="left"/>
              <w:rPr>
                <w:rFonts w:ascii="Times New Roman;serif" w:hAnsi="Times New Roman;serif"/>
                <w:b w:val="false"/>
                <w:color w:val="000000"/>
                <w:sz w:val="20"/>
              </w:rPr>
            </w:pPr>
            <w:r>
              <w:rPr>
                <w:rFonts w:ascii="Times New Roman;serif" w:hAnsi="Times New Roman;serif"/>
                <w:b w:val="false"/>
                <w:color w:val="000000"/>
                <w:sz w:val="20"/>
              </w:rPr>
              <w:t>Inline XBRL Taxonomy Extension Schema Document</w:t>
            </w:r>
          </w:p>
        </w:tc>
      </w:tr>
      <w:tr>
        <w:trPr/>
        <w:tc>
          <w:tcPr>
            <w:tcW w:w="822" w:type="dxa"/>
            <w:gridSpan w:val="3"/>
            <w:tcBorders/>
            <w:tcMar>
              <w:top w:w="0" w:type="dxa"/>
              <w:left w:w="0" w:type="dxa"/>
              <w:bottom w:w="0" w:type="dxa"/>
              <w:right w:w="0" w:type="dxa"/>
            </w:tcMar>
            <w:vAlign w:val="center"/>
          </w:tcPr>
          <w:p>
            <w:pPr>
              <w:pStyle w:val="TableContents"/>
              <w:bidi w:val="0"/>
              <w:spacing w:lineRule="auto" w:line="252" w:before="0" w:after="283"/>
              <w:jc w:val="left"/>
              <w:rPr>
                <w:rFonts w:ascii="Times New Roman;serif" w:hAnsi="Times New Roman;serif"/>
                <w:b w:val="false"/>
                <w:color w:val="000000"/>
                <w:sz w:val="20"/>
              </w:rPr>
            </w:pPr>
            <w:r>
              <w:rPr>
                <w:rFonts w:ascii="Times New Roman;serif" w:hAnsi="Times New Roman;serif"/>
                <w:b w:val="false"/>
                <w:color w:val="000000"/>
                <w:sz w:val="20"/>
              </w:rPr>
              <w:t>101.CAL*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56" w:type="dxa"/>
            <w:gridSpan w:val="3"/>
            <w:tcBorders/>
            <w:tcMar>
              <w:top w:w="0" w:type="dxa"/>
              <w:left w:w="0" w:type="dxa"/>
              <w:bottom w:w="0" w:type="dxa"/>
              <w:right w:w="0" w:type="dxa"/>
            </w:tcMar>
            <w:vAlign w:val="center"/>
          </w:tcPr>
          <w:p>
            <w:pPr>
              <w:pStyle w:val="TableContents"/>
              <w:bidi w:val="0"/>
              <w:spacing w:lineRule="auto" w:line="252" w:before="0" w:after="283"/>
              <w:jc w:val="left"/>
              <w:rPr>
                <w:rFonts w:ascii="Times New Roman;serif" w:hAnsi="Times New Roman;serif"/>
                <w:b w:val="false"/>
                <w:color w:val="000000"/>
                <w:sz w:val="20"/>
              </w:rPr>
            </w:pPr>
            <w:r>
              <w:rPr>
                <w:rFonts w:ascii="Times New Roman;serif" w:hAnsi="Times New Roman;serif"/>
                <w:b w:val="false"/>
                <w:color w:val="000000"/>
                <w:sz w:val="20"/>
              </w:rPr>
              <w:t>Inline XBRL Taxonomy Extension Calculation Linkbase Document</w:t>
            </w:r>
          </w:p>
        </w:tc>
      </w:tr>
      <w:tr>
        <w:trPr/>
        <w:tc>
          <w:tcPr>
            <w:tcW w:w="822" w:type="dxa"/>
            <w:gridSpan w:val="3"/>
            <w:tcBorders/>
            <w:tcMar>
              <w:top w:w="0" w:type="dxa"/>
              <w:left w:w="0" w:type="dxa"/>
              <w:bottom w:w="0" w:type="dxa"/>
              <w:right w:w="0" w:type="dxa"/>
            </w:tcMar>
            <w:vAlign w:val="center"/>
          </w:tcPr>
          <w:p>
            <w:pPr>
              <w:pStyle w:val="TableContents"/>
              <w:bidi w:val="0"/>
              <w:spacing w:lineRule="auto" w:line="252" w:before="0" w:after="283"/>
              <w:jc w:val="left"/>
              <w:rPr>
                <w:rFonts w:ascii="Times New Roman;serif" w:hAnsi="Times New Roman;serif"/>
                <w:b w:val="false"/>
                <w:color w:val="000000"/>
                <w:sz w:val="20"/>
              </w:rPr>
            </w:pPr>
            <w:r>
              <w:rPr>
                <w:rFonts w:ascii="Times New Roman;serif" w:hAnsi="Times New Roman;serif"/>
                <w:b w:val="false"/>
                <w:color w:val="000000"/>
                <w:sz w:val="20"/>
              </w:rPr>
              <w:t>101.DEF*</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56" w:type="dxa"/>
            <w:gridSpan w:val="3"/>
            <w:tcBorders/>
            <w:tcMar>
              <w:top w:w="0" w:type="dxa"/>
              <w:left w:w="0" w:type="dxa"/>
              <w:bottom w:w="0" w:type="dxa"/>
              <w:right w:w="0" w:type="dxa"/>
            </w:tcMar>
            <w:vAlign w:val="center"/>
          </w:tcPr>
          <w:p>
            <w:pPr>
              <w:pStyle w:val="TableContents"/>
              <w:bidi w:val="0"/>
              <w:spacing w:lineRule="auto" w:line="252" w:before="0" w:after="283"/>
              <w:jc w:val="left"/>
              <w:rPr>
                <w:rFonts w:ascii="Times New Roman;serif" w:hAnsi="Times New Roman;serif"/>
                <w:b w:val="false"/>
                <w:color w:val="000000"/>
                <w:sz w:val="20"/>
              </w:rPr>
            </w:pPr>
            <w:r>
              <w:rPr>
                <w:rFonts w:ascii="Times New Roman;serif" w:hAnsi="Times New Roman;serif"/>
                <w:b w:val="false"/>
                <w:color w:val="000000"/>
                <w:sz w:val="20"/>
              </w:rPr>
              <w:t>Inline XBRL Taxonomy Extension Definition Linkbase Document</w:t>
            </w:r>
          </w:p>
        </w:tc>
      </w:tr>
      <w:tr>
        <w:trPr/>
        <w:tc>
          <w:tcPr>
            <w:tcW w:w="822" w:type="dxa"/>
            <w:gridSpan w:val="3"/>
            <w:tcBorders/>
            <w:tcMar>
              <w:top w:w="0" w:type="dxa"/>
              <w:left w:w="0" w:type="dxa"/>
              <w:bottom w:w="0" w:type="dxa"/>
              <w:right w:w="0" w:type="dxa"/>
            </w:tcMar>
            <w:vAlign w:val="center"/>
          </w:tcPr>
          <w:p>
            <w:pPr>
              <w:pStyle w:val="TableContents"/>
              <w:bidi w:val="0"/>
              <w:spacing w:lineRule="auto" w:line="252" w:before="0" w:after="283"/>
              <w:jc w:val="left"/>
              <w:rPr>
                <w:rFonts w:ascii="Times New Roman;serif" w:hAnsi="Times New Roman;serif"/>
                <w:b w:val="false"/>
                <w:color w:val="000000"/>
                <w:sz w:val="20"/>
              </w:rPr>
            </w:pPr>
            <w:r>
              <w:rPr>
                <w:rFonts w:ascii="Times New Roman;serif" w:hAnsi="Times New Roman;serif"/>
                <w:b w:val="false"/>
                <w:color w:val="000000"/>
                <w:sz w:val="20"/>
              </w:rPr>
              <w:t>101.LAB*</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56" w:type="dxa"/>
            <w:gridSpan w:val="3"/>
            <w:tcBorders/>
            <w:tcMar>
              <w:top w:w="0" w:type="dxa"/>
              <w:left w:w="0" w:type="dxa"/>
              <w:bottom w:w="0" w:type="dxa"/>
              <w:right w:w="0" w:type="dxa"/>
            </w:tcMar>
            <w:vAlign w:val="center"/>
          </w:tcPr>
          <w:p>
            <w:pPr>
              <w:pStyle w:val="TableContents"/>
              <w:bidi w:val="0"/>
              <w:spacing w:lineRule="auto" w:line="252" w:before="0" w:after="283"/>
              <w:jc w:val="left"/>
              <w:rPr>
                <w:rFonts w:ascii="Times New Roman;serif" w:hAnsi="Times New Roman;serif"/>
                <w:b w:val="false"/>
                <w:color w:val="000000"/>
                <w:sz w:val="20"/>
              </w:rPr>
            </w:pPr>
            <w:r>
              <w:rPr>
                <w:rFonts w:ascii="Times New Roman;serif" w:hAnsi="Times New Roman;serif"/>
                <w:b w:val="false"/>
                <w:color w:val="000000"/>
                <w:sz w:val="20"/>
              </w:rPr>
              <w:t>Inline XBRL Taxonomy Extension Label Linkbase Document</w:t>
            </w:r>
          </w:p>
        </w:tc>
      </w:tr>
      <w:tr>
        <w:trPr/>
        <w:tc>
          <w:tcPr>
            <w:tcW w:w="822" w:type="dxa"/>
            <w:gridSpan w:val="3"/>
            <w:tcBorders/>
            <w:tcMar>
              <w:top w:w="0" w:type="dxa"/>
              <w:left w:w="0" w:type="dxa"/>
              <w:bottom w:w="0" w:type="dxa"/>
              <w:right w:w="0" w:type="dxa"/>
            </w:tcMar>
            <w:vAlign w:val="center"/>
          </w:tcPr>
          <w:p>
            <w:pPr>
              <w:pStyle w:val="TableContents"/>
              <w:bidi w:val="0"/>
              <w:spacing w:lineRule="auto" w:line="252" w:before="0" w:after="283"/>
              <w:jc w:val="left"/>
              <w:rPr>
                <w:rFonts w:ascii="Times New Roman;serif" w:hAnsi="Times New Roman;serif"/>
                <w:b w:val="false"/>
                <w:color w:val="000000"/>
                <w:sz w:val="20"/>
              </w:rPr>
            </w:pPr>
            <w:r>
              <w:rPr>
                <w:rFonts w:ascii="Times New Roman;serif" w:hAnsi="Times New Roman;serif"/>
                <w:b w:val="false"/>
                <w:color w:val="000000"/>
                <w:sz w:val="20"/>
              </w:rPr>
              <w:t>101.PRE*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56" w:type="dxa"/>
            <w:gridSpan w:val="3"/>
            <w:tcBorders/>
            <w:tcMar>
              <w:top w:w="0" w:type="dxa"/>
              <w:left w:w="0" w:type="dxa"/>
              <w:bottom w:w="0" w:type="dxa"/>
              <w:right w:w="0" w:type="dxa"/>
            </w:tcMar>
            <w:vAlign w:val="center"/>
          </w:tcPr>
          <w:p>
            <w:pPr>
              <w:pStyle w:val="TableContents"/>
              <w:bidi w:val="0"/>
              <w:spacing w:lineRule="auto" w:line="252" w:before="0" w:after="283"/>
              <w:jc w:val="left"/>
              <w:rPr>
                <w:rFonts w:ascii="Times New Roman;serif" w:hAnsi="Times New Roman;serif"/>
                <w:b w:val="false"/>
                <w:color w:val="000000"/>
                <w:sz w:val="20"/>
              </w:rPr>
            </w:pPr>
            <w:r>
              <w:rPr>
                <w:rFonts w:ascii="Times New Roman;serif" w:hAnsi="Times New Roman;serif"/>
                <w:b w:val="false"/>
                <w:color w:val="000000"/>
                <w:sz w:val="20"/>
              </w:rPr>
              <w:t>Inline XBRL Taxonomy Extension Presentation Linkbase Document</w:t>
            </w:r>
          </w:p>
        </w:tc>
      </w:tr>
      <w:tr>
        <w:trPr/>
        <w:tc>
          <w:tcPr>
            <w:tcW w:w="822" w:type="dxa"/>
            <w:gridSpan w:val="3"/>
            <w:tcBorders/>
            <w:tcMar>
              <w:top w:w="0" w:type="dxa"/>
              <w:left w:w="0" w:type="dxa"/>
              <w:bottom w:w="0" w:type="dxa"/>
              <w:right w:w="0" w:type="dxa"/>
            </w:tcMar>
            <w:vAlign w:val="center"/>
          </w:tcPr>
          <w:p>
            <w:pPr>
              <w:pStyle w:val="TableContents"/>
              <w:bidi w:val="0"/>
              <w:spacing w:lineRule="auto" w:line="252" w:before="0" w:after="283"/>
              <w:jc w:val="left"/>
              <w:rPr>
                <w:rFonts w:ascii="Times New Roman;serif" w:hAnsi="Times New Roman;serif"/>
                <w:b w:val="false"/>
                <w:color w:val="000000"/>
                <w:sz w:val="20"/>
              </w:rPr>
            </w:pPr>
            <w:r>
              <w:rPr>
                <w:rFonts w:ascii="Times New Roman;serif" w:hAnsi="Times New Roman;serif"/>
                <w:b w:val="false"/>
                <w:color w:val="000000"/>
                <w:sz w:val="20"/>
              </w:rPr>
              <w:t>104*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56" w:type="dxa"/>
            <w:gridSpan w:val="3"/>
            <w:tcBorders/>
            <w:tcMar>
              <w:top w:w="0" w:type="dxa"/>
              <w:left w:w="0" w:type="dxa"/>
              <w:bottom w:w="0" w:type="dxa"/>
              <w:right w:w="0" w:type="dxa"/>
            </w:tcMar>
            <w:vAlign w:val="center"/>
          </w:tcPr>
          <w:p>
            <w:pPr>
              <w:pStyle w:val="TableContents"/>
              <w:bidi w:val="0"/>
              <w:spacing w:lineRule="auto" w:line="252" w:before="0" w:after="283"/>
              <w:jc w:val="left"/>
              <w:rPr>
                <w:rFonts w:ascii="Times New Roman;serif" w:hAnsi="Times New Roman;serif"/>
                <w:b w:val="false"/>
                <w:color w:val="000000"/>
                <w:sz w:val="20"/>
              </w:rPr>
            </w:pPr>
            <w:r>
              <w:rPr>
                <w:rFonts w:ascii="Times New Roman;serif" w:hAnsi="Times New Roman;serif"/>
                <w:b w:val="false"/>
                <w:color w:val="000000"/>
                <w:sz w:val="20"/>
              </w:rPr>
              <w:t>Cover Page Interactive Data File (embedded within the Inline XBRL document)</w:t>
            </w:r>
          </w:p>
        </w:tc>
      </w:tr>
    </w:tbl>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______________________________________________</w:t>
      </w:r>
    </w:p>
    <w:p>
      <w:pPr>
        <w:pStyle w:val="TextBody"/>
        <w:bidi w:val="0"/>
        <w:spacing w:lineRule="auto" w:line="288" w:before="200" w:after="283"/>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*Filed herewith.</w:t>
      </w:r>
    </w:p>
    <w:p>
      <w:pPr>
        <w:pStyle w:val="TextBody"/>
        <w:bidi w:val="0"/>
        <w:spacing w:lineRule="auto" w:line="288" w:before="0" w:after="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**Furnished herewith.</w:t>
      </w:r>
    </w:p>
    <w:p>
      <w:pPr>
        <w:pStyle w:val="TextBody"/>
        <w:bidi w:val="0"/>
        <w:spacing w:before="0" w:after="0"/>
        <w:ind w:left="0" w:right="0" w:hanging="360"/>
        <w:jc w:val="left"/>
        <w:rPr/>
      </w:pPr>
      <w:r>
        <w:rPr/>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1">
                <wp:simplePos x="0" y="0"/>
                <wp:positionH relativeFrom="character">
                  <wp:align>left</wp:align>
                </wp:positionH>
                <wp:positionV relativeFrom="line">
                  <wp:posOffset>635</wp:posOffset>
                </wp:positionV>
                <wp:extent cx="6480175" cy="146685"/>
                <wp:effectExtent l="0" t="0" r="0" b="0"/>
                <wp:wrapNone/>
                <wp:docPr id="30" name="Frame3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left"/>
                              <w:rPr>
                                <w:rFonts w:ascii="Times New Roman;serif" w:hAnsi="Times New Roman;serif"/>
                                <w:b w:val="false"/>
                                <w:color w:val="000000"/>
                                <w:sz w:val="20"/>
                              </w:rPr>
                            </w:pPr>
                            <w:r>
                              <w:rPr>
                                <w:rFonts w:ascii="Times New Roman;serif" w:hAnsi="Times New Roman;serif"/>
                                <w:b w:val="false"/>
                                <w:color w:val="000000"/>
                                <w:sz w:val="20"/>
                              </w:rPr>
                              <w:t>28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left"/>
                        <w:rPr>
                          <w:rFonts w:ascii="Times New Roman;serif" w:hAnsi="Times New Roman;serif"/>
                          <w:b w:val="false"/>
                          <w:color w:val="000000"/>
                          <w:sz w:val="20"/>
                        </w:rPr>
                      </w:pPr>
                      <w:r>
                        <w:rPr>
                          <w:rFonts w:ascii="Times New Roman;serif" w:hAnsi="Times New Roman;serif"/>
                          <w:b w:val="false"/>
                          <w:color w:val="000000"/>
                          <w:sz w:val="20"/>
                        </w:rPr>
                        <w:t>28</w:t>
                      </w:r>
                    </w:p>
                  </w:txbxContent>
                </v:textbox>
                <w10:wrap type="none"/>
              </v:rect>
            </w:pict>
          </mc:Fallback>
        </mc:AlternateContent>
      </w:r>
    </w:p>
    <w:p>
      <w:pPr>
        <w:pStyle w:val="TextBody"/>
        <w:bidi w:val="0"/>
        <w:spacing w:lineRule="auto" w:line="288" w:before="0" w:after="0"/>
        <w:jc w:val="left"/>
        <w:rPr/>
      </w:pPr>
      <w:hyperlink w:anchor="i7f5619487a1149c59a3dd36fee75a584_7">
        <w:r>
          <w:rPr>
            <w:rStyle w:val="InternetLink"/>
            <w:rFonts w:ascii="Times New Roman;serif" w:hAnsi="Times New Roman;serif"/>
            <w:b w:val="false"/>
            <w:color w:val="0000FF"/>
            <w:sz w:val="20"/>
            <w:u w:val="single"/>
          </w:rPr>
          <w:t>Table of Contents</w:t>
        </w:r>
      </w:hyperlink>
    </w:p>
    <w:p>
      <w:pPr>
        <w:pStyle w:val="TextBody"/>
        <w:bidi w:val="0"/>
        <w:spacing w:lineRule="auto" w:line="288" w:before="200" w:after="283"/>
        <w:jc w:val="center"/>
        <w:rPr>
          <w:rFonts w:ascii="Times New Roman;serif" w:hAnsi="Times New Roman;serif"/>
          <w:b/>
          <w:color w:val="000000"/>
          <w:sz w:val="20"/>
        </w:rPr>
      </w:pPr>
      <w:r>
        <w:rPr>
          <w:rFonts w:ascii="Times New Roman;serif" w:hAnsi="Times New Roman;serif"/>
          <w:b/>
          <w:color w:val="000000"/>
          <w:sz w:val="20"/>
        </w:rPr>
        <w:t>SIGNATURES</w:t>
      </w:r>
    </w:p>
    <w:p>
      <w:pPr>
        <w:pStyle w:val="TextBody"/>
        <w:bidi w:val="0"/>
        <w:spacing w:lineRule="auto" w:line="288" w:before="20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Pursuant to the requirements of the Securities Exchange Act of 1934, as amended, the registrant has duly caused this report to be signed on its behalf by the undersigned thereunto duly authorized.</w:t>
      </w:r>
    </w:p>
    <w:tbl>
      <w:tblPr>
        <w:tblW w:w="7814" w:type="dxa"/>
        <w:jc w:val="left"/>
        <w:tblInd w:w="0" w:type="dxa"/>
        <w:tblLayout w:type="fixed"/>
        <w:tblCellMar>
          <w:top w:w="28" w:type="dxa"/>
          <w:left w:w="28" w:type="dxa"/>
          <w:bottom w:w="28" w:type="dxa"/>
          <w:right w:w="28" w:type="dxa"/>
        </w:tblCellMar>
      </w:tblPr>
      <w:tblGrid>
        <w:gridCol w:w="591"/>
        <w:gridCol w:w="520"/>
        <w:gridCol w:w="523"/>
        <w:gridCol w:w="345"/>
        <w:gridCol w:w="345"/>
        <w:gridCol w:w="345"/>
        <w:gridCol w:w="1497"/>
        <w:gridCol w:w="1497"/>
        <w:gridCol w:w="2151"/>
      </w:tblGrid>
      <w:tr>
        <w:trPr/>
        <w:tc>
          <w:tcPr>
            <w:tcW w:w="591" w:type="dxa"/>
            <w:tcBorders/>
            <w:vAlign w:val="center"/>
          </w:tcPr>
          <w:p>
            <w:pPr>
              <w:pStyle w:val="TableContents"/>
              <w:bidi w:val="0"/>
              <w:spacing w:before="0" w:after="283"/>
              <w:jc w:val="left"/>
              <w:rPr>
                <w:sz w:val="4"/>
                <w:szCs w:val="4"/>
              </w:rPr>
            </w:pPr>
            <w:r>
              <w:rPr>
                <w:sz w:val="4"/>
                <w:szCs w:val="4"/>
              </w:rPr>
            </w:r>
          </w:p>
        </w:tc>
        <w:tc>
          <w:tcPr>
            <w:tcW w:w="520" w:type="dxa"/>
            <w:tcBorders/>
            <w:vAlign w:val="center"/>
          </w:tcPr>
          <w:p>
            <w:pPr>
              <w:pStyle w:val="TableContents"/>
              <w:bidi w:val="0"/>
              <w:spacing w:before="0" w:after="283"/>
              <w:jc w:val="left"/>
              <w:rPr>
                <w:sz w:val="4"/>
                <w:szCs w:val="4"/>
              </w:rPr>
            </w:pPr>
            <w:r>
              <w:rPr>
                <w:sz w:val="4"/>
                <w:szCs w:val="4"/>
              </w:rPr>
            </w:r>
          </w:p>
        </w:tc>
        <w:tc>
          <w:tcPr>
            <w:tcW w:w="523" w:type="dxa"/>
            <w:tcBorders/>
            <w:vAlign w:val="center"/>
          </w:tcPr>
          <w:p>
            <w:pPr>
              <w:pStyle w:val="TableContents"/>
              <w:bidi w:val="0"/>
              <w:spacing w:before="0" w:after="283"/>
              <w:jc w:val="left"/>
              <w:rPr>
                <w:sz w:val="4"/>
                <w:szCs w:val="4"/>
              </w:rPr>
            </w:pPr>
            <w:r>
              <w:rPr>
                <w:sz w:val="4"/>
                <w:szCs w:val="4"/>
              </w:rPr>
            </w:r>
          </w:p>
        </w:tc>
        <w:tc>
          <w:tcPr>
            <w:tcW w:w="345" w:type="dxa"/>
            <w:tcBorders/>
            <w:vAlign w:val="center"/>
          </w:tcPr>
          <w:p>
            <w:pPr>
              <w:pStyle w:val="TableContents"/>
              <w:bidi w:val="0"/>
              <w:spacing w:before="0" w:after="283"/>
              <w:jc w:val="left"/>
              <w:rPr>
                <w:sz w:val="4"/>
                <w:szCs w:val="4"/>
              </w:rPr>
            </w:pPr>
            <w:r>
              <w:rPr>
                <w:sz w:val="4"/>
                <w:szCs w:val="4"/>
              </w:rPr>
            </w:r>
          </w:p>
        </w:tc>
        <w:tc>
          <w:tcPr>
            <w:tcW w:w="345" w:type="dxa"/>
            <w:tcBorders/>
            <w:vAlign w:val="center"/>
          </w:tcPr>
          <w:p>
            <w:pPr>
              <w:pStyle w:val="TableContents"/>
              <w:bidi w:val="0"/>
              <w:spacing w:before="0" w:after="283"/>
              <w:jc w:val="left"/>
              <w:rPr>
                <w:sz w:val="4"/>
                <w:szCs w:val="4"/>
              </w:rPr>
            </w:pPr>
            <w:r>
              <w:rPr>
                <w:sz w:val="4"/>
                <w:szCs w:val="4"/>
              </w:rPr>
            </w:r>
          </w:p>
        </w:tc>
        <w:tc>
          <w:tcPr>
            <w:tcW w:w="345" w:type="dxa"/>
            <w:tcBorders/>
            <w:vAlign w:val="center"/>
          </w:tcPr>
          <w:p>
            <w:pPr>
              <w:pStyle w:val="TableContents"/>
              <w:bidi w:val="0"/>
              <w:spacing w:before="0" w:after="283"/>
              <w:jc w:val="left"/>
              <w:rPr>
                <w:sz w:val="4"/>
                <w:szCs w:val="4"/>
              </w:rPr>
            </w:pPr>
            <w:r>
              <w:rPr>
                <w:sz w:val="4"/>
                <w:szCs w:val="4"/>
              </w:rPr>
            </w:r>
          </w:p>
        </w:tc>
        <w:tc>
          <w:tcPr>
            <w:tcW w:w="1497" w:type="dxa"/>
            <w:tcBorders/>
            <w:vAlign w:val="center"/>
          </w:tcPr>
          <w:p>
            <w:pPr>
              <w:pStyle w:val="TableContents"/>
              <w:bidi w:val="0"/>
              <w:spacing w:before="0" w:after="283"/>
              <w:jc w:val="left"/>
              <w:rPr>
                <w:sz w:val="4"/>
                <w:szCs w:val="4"/>
              </w:rPr>
            </w:pPr>
            <w:r>
              <w:rPr>
                <w:sz w:val="4"/>
                <w:szCs w:val="4"/>
              </w:rPr>
            </w:r>
          </w:p>
        </w:tc>
        <w:tc>
          <w:tcPr>
            <w:tcW w:w="1497" w:type="dxa"/>
            <w:tcBorders/>
            <w:vAlign w:val="center"/>
          </w:tcPr>
          <w:p>
            <w:pPr>
              <w:pStyle w:val="TableContents"/>
              <w:bidi w:val="0"/>
              <w:spacing w:before="0" w:after="283"/>
              <w:jc w:val="left"/>
              <w:rPr>
                <w:sz w:val="4"/>
                <w:szCs w:val="4"/>
              </w:rPr>
            </w:pPr>
            <w:r>
              <w:rPr>
                <w:sz w:val="4"/>
                <w:szCs w:val="4"/>
              </w:rPr>
            </w:r>
          </w:p>
        </w:tc>
        <w:tc>
          <w:tcPr>
            <w:tcW w:w="2151" w:type="dxa"/>
            <w:tcBorders/>
            <w:vAlign w:val="center"/>
          </w:tcPr>
          <w:p>
            <w:pPr>
              <w:pStyle w:val="TableContents"/>
              <w:bidi w:val="0"/>
              <w:spacing w:before="0" w:after="283"/>
              <w:jc w:val="left"/>
              <w:rPr>
                <w:sz w:val="4"/>
                <w:szCs w:val="4"/>
              </w:rPr>
            </w:pPr>
            <w:r>
              <w:rPr>
                <w:sz w:val="4"/>
                <w:szCs w:val="4"/>
              </w:rPr>
            </w:r>
          </w:p>
        </w:tc>
      </w:tr>
      <w:tr>
        <w:trPr/>
        <w:tc>
          <w:tcPr>
            <w:tcW w:w="16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80" w:type="dxa"/>
            <w:gridSpan w:val="6"/>
            <w:tcBorders/>
            <w:tcMar>
              <w:top w:w="0" w:type="dxa"/>
              <w:left w:w="0" w:type="dxa"/>
              <w:bottom w:w="0" w:type="dxa"/>
              <w:right w:w="0" w:type="dxa"/>
            </w:tcMar>
            <w:vAlign w:val="center"/>
          </w:tcPr>
          <w:p>
            <w:pPr>
              <w:pStyle w:val="TableContents"/>
              <w:bidi w:val="0"/>
              <w:spacing w:lineRule="auto" w:line="252" w:before="0" w:after="283"/>
              <w:jc w:val="left"/>
              <w:rPr>
                <w:rFonts w:ascii="Times New Roman;serif" w:hAnsi="Times New Roman;serif"/>
                <w:b w:val="false"/>
                <w:color w:val="000000"/>
                <w:sz w:val="20"/>
              </w:rPr>
            </w:pPr>
            <w:r>
              <w:rPr>
                <w:rFonts w:ascii="Times New Roman;serif" w:hAnsi="Times New Roman;serif"/>
                <w:b w:val="false"/>
                <w:color w:val="000000"/>
                <w:sz w:val="20"/>
              </w:rPr>
              <w:t>Caribou Biosciences, Inc.</w:t>
            </w:r>
          </w:p>
        </w:tc>
      </w:tr>
      <w:tr>
        <w:trPr/>
        <w:tc>
          <w:tcPr>
            <w:tcW w:w="16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34" w:type="dxa"/>
            <w:gridSpan w:val="3"/>
            <w:tcBorders/>
            <w:tcMar>
              <w:top w:w="0" w:type="dxa"/>
              <w:left w:w="0" w:type="dxa"/>
              <w:bottom w:w="0" w:type="dxa"/>
              <w:right w:w="0" w:type="dxa"/>
            </w:tcMar>
            <w:vAlign w:val="center"/>
          </w:tcPr>
          <w:p>
            <w:pPr>
              <w:pStyle w:val="TableContents"/>
              <w:bidi w:val="0"/>
              <w:spacing w:lineRule="auto" w:line="252" w:before="14" w:after="283"/>
              <w:jc w:val="left"/>
              <w:rPr>
                <w:rFonts w:ascii="Times New Roman;serif" w:hAnsi="Times New Roman;serif"/>
                <w:b w:val="false"/>
                <w:color w:val="000000"/>
                <w:sz w:val="20"/>
              </w:rPr>
            </w:pPr>
            <w:r>
              <w:rPr>
                <w:rFonts w:ascii="Times New Roman;serif" w:hAnsi="Times New Roman;serif"/>
                <w:b w:val="false"/>
                <w:color w:val="000000"/>
                <w:sz w:val="20"/>
              </w:rPr>
              <w:t>Date: May 7, 2026</w:t>
            </w:r>
          </w:p>
        </w:tc>
        <w:tc>
          <w:tcPr>
            <w:tcW w:w="1035" w:type="dxa"/>
            <w:gridSpan w:val="3"/>
            <w:tcBorders/>
            <w:tcMar>
              <w:top w:w="0" w:type="dxa"/>
              <w:left w:w="0" w:type="dxa"/>
              <w:bottom w:w="0" w:type="dxa"/>
              <w:right w:w="0" w:type="dxa"/>
            </w:tcMar>
            <w:vAlign w:val="center"/>
          </w:tcPr>
          <w:p>
            <w:pPr>
              <w:pStyle w:val="TableContents"/>
              <w:bidi w:val="0"/>
              <w:spacing w:lineRule="auto" w:line="252" w:before="0" w:after="283"/>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5145" w:type="dxa"/>
            <w:gridSpan w:val="3"/>
            <w:tcBorders/>
            <w:tcMar>
              <w:top w:w="0" w:type="dxa"/>
              <w:left w:w="0" w:type="dxa"/>
              <w:bottom w:w="0" w:type="dxa"/>
              <w:right w:w="0" w:type="dxa"/>
            </w:tcMar>
            <w:vAlign w:val="center"/>
          </w:tcPr>
          <w:p>
            <w:pPr>
              <w:pStyle w:val="TableContents"/>
              <w:bidi w:val="0"/>
              <w:spacing w:lineRule="auto" w:line="252" w:before="0" w:after="283"/>
              <w:jc w:val="left"/>
              <w:rPr>
                <w:color w:val="000000"/>
              </w:rPr>
            </w:pPr>
            <w:r>
              <w:rPr>
                <w:color w:val="000000"/>
              </w:rPr>
              <w:t> </w:t>
            </w:r>
            <w:r>
              <w:rPr>
                <w:rFonts w:ascii="Times New Roman;serif" w:hAnsi="Times New Roman;serif"/>
                <w:b w:val="false"/>
                <w:color w:val="000000"/>
                <w:sz w:val="20"/>
              </w:rPr>
              <w:t>/s/ Rachel E. Haurwitz</w:t>
            </w:r>
          </w:p>
        </w:tc>
      </w:tr>
      <w:tr>
        <w:trPr/>
        <w:tc>
          <w:tcPr>
            <w:tcW w:w="16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4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52" w:before="14" w:after="283"/>
              <w:jc w:val="center"/>
              <w:rPr>
                <w:rFonts w:ascii="Times New Roman;serif" w:hAnsi="Times New Roman;serif"/>
                <w:b/>
                <w:color w:val="000000"/>
                <w:sz w:val="20"/>
              </w:rPr>
            </w:pPr>
            <w:r>
              <w:rPr>
                <w:rFonts w:ascii="Times New Roman;serif" w:hAnsi="Times New Roman;serif"/>
                <w:b/>
                <w:color w:val="000000"/>
                <w:sz w:val="20"/>
              </w:rPr>
              <w:t>Rachel E. Haurwitz, Ph.D.</w:t>
            </w:r>
          </w:p>
          <w:p>
            <w:pPr>
              <w:pStyle w:val="TableContents"/>
              <w:bidi w:val="0"/>
              <w:spacing w:lineRule="auto" w:line="252" w:before="14" w:after="283"/>
              <w:jc w:val="center"/>
              <w:rPr>
                <w:rFonts w:ascii="Times New Roman;serif" w:hAnsi="Times New Roman;serif"/>
                <w:b/>
                <w:color w:val="000000"/>
                <w:sz w:val="20"/>
              </w:rPr>
            </w:pPr>
            <w:r>
              <w:rPr>
                <w:rFonts w:ascii="Times New Roman;serif" w:hAnsi="Times New Roman;serif"/>
                <w:b/>
                <w:color w:val="000000"/>
                <w:sz w:val="20"/>
              </w:rPr>
              <w:t>President and Chief Executive Officer</w:t>
            </w:r>
          </w:p>
        </w:tc>
      </w:tr>
      <w:tr>
        <w:trPr/>
        <w:tc>
          <w:tcPr>
            <w:tcW w:w="16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45" w:type="dxa"/>
            <w:gridSpan w:val="3"/>
            <w:tcBorders/>
            <w:tcMar>
              <w:top w:w="0" w:type="dxa"/>
              <w:left w:w="0" w:type="dxa"/>
              <w:bottom w:w="0" w:type="dxa"/>
              <w:right w:w="0" w:type="dxa"/>
            </w:tcMar>
            <w:vAlign w:val="center"/>
          </w:tcPr>
          <w:p>
            <w:pPr>
              <w:pStyle w:val="TableContents"/>
              <w:bidi w:val="0"/>
              <w:spacing w:lineRule="auto" w:line="252" w:before="0" w:after="283"/>
              <w:jc w:val="center"/>
              <w:rPr>
                <w:rFonts w:ascii="Times New Roman;serif" w:hAnsi="Times New Roman;serif"/>
                <w:b w:val="false"/>
                <w:color w:val="000000"/>
                <w:sz w:val="20"/>
              </w:rPr>
            </w:pPr>
            <w:r>
              <w:rPr>
                <w:rFonts w:ascii="Times New Roman;serif" w:hAnsi="Times New Roman;serif"/>
                <w:b w:val="false"/>
                <w:color w:val="000000"/>
                <w:sz w:val="20"/>
              </w:rPr>
              <w:t>(Principal Executive Officer)</w:t>
            </w:r>
          </w:p>
        </w:tc>
      </w:tr>
      <w:tr>
        <w:trPr/>
        <w:tc>
          <w:tcPr>
            <w:tcW w:w="16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34" w:type="dxa"/>
            <w:gridSpan w:val="3"/>
            <w:tcBorders/>
            <w:tcMar>
              <w:top w:w="0" w:type="dxa"/>
              <w:left w:w="0" w:type="dxa"/>
              <w:bottom w:w="0" w:type="dxa"/>
              <w:right w:w="0" w:type="dxa"/>
            </w:tcMar>
            <w:vAlign w:val="center"/>
          </w:tcPr>
          <w:p>
            <w:pPr>
              <w:pStyle w:val="TableContents"/>
              <w:bidi w:val="0"/>
              <w:spacing w:lineRule="auto" w:line="252" w:before="0" w:after="0"/>
              <w:jc w:val="left"/>
              <w:rPr>
                <w:rFonts w:ascii="Times New Roman;serif" w:hAnsi="Times New Roman;serif"/>
                <w:b w:val="false"/>
                <w:color w:val="000000"/>
                <w:sz w:val="20"/>
              </w:rPr>
            </w:pPr>
            <w:r>
              <w:rPr>
                <w:rFonts w:ascii="Times New Roman;serif" w:hAnsi="Times New Roman;serif"/>
                <w:b w:val="false"/>
                <w:color w:val="000000"/>
                <w:sz w:val="20"/>
              </w:rPr>
              <w:t>Date: May 7, 2026</w:t>
            </w:r>
          </w:p>
        </w:tc>
        <w:tc>
          <w:tcPr>
            <w:tcW w:w="1035" w:type="dxa"/>
            <w:gridSpan w:val="3"/>
            <w:tcBorders/>
            <w:tcMar>
              <w:top w:w="0" w:type="dxa"/>
              <w:left w:w="0" w:type="dxa"/>
              <w:bottom w:w="0" w:type="dxa"/>
              <w:right w:w="0" w:type="dxa"/>
            </w:tcMar>
            <w:vAlign w:val="center"/>
          </w:tcPr>
          <w:p>
            <w:pPr>
              <w:pStyle w:val="TableContents"/>
              <w:bidi w:val="0"/>
              <w:spacing w:lineRule="auto" w:line="252" w:before="0" w:after="283"/>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5145" w:type="dxa"/>
            <w:gridSpan w:val="3"/>
            <w:tcBorders/>
            <w:tcMar>
              <w:top w:w="0" w:type="dxa"/>
              <w:left w:w="0" w:type="dxa"/>
              <w:bottom w:w="0" w:type="dxa"/>
              <w:right w:w="0" w:type="dxa"/>
            </w:tcMar>
            <w:vAlign w:val="center"/>
          </w:tcPr>
          <w:p>
            <w:pPr>
              <w:pStyle w:val="TableContents"/>
              <w:bidi w:val="0"/>
              <w:spacing w:lineRule="auto" w:line="252" w:before="0" w:after="0"/>
              <w:jc w:val="left"/>
              <w:rPr>
                <w:color w:val="000000"/>
              </w:rPr>
            </w:pPr>
            <w:r>
              <w:rPr>
                <w:color w:val="000000"/>
              </w:rPr>
              <w:t> </w:t>
            </w:r>
            <w:r>
              <w:rPr>
                <w:rFonts w:ascii="Times New Roman;serif" w:hAnsi="Times New Roman;serif"/>
                <w:b w:val="false"/>
                <w:color w:val="000000"/>
                <w:sz w:val="20"/>
              </w:rPr>
              <w:t>/s/ Sriram Ryali</w:t>
            </w:r>
          </w:p>
        </w:tc>
      </w:tr>
      <w:tr>
        <w:trPr/>
        <w:tc>
          <w:tcPr>
            <w:tcW w:w="16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4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52" w:before="0" w:after="0"/>
              <w:jc w:val="center"/>
              <w:rPr>
                <w:rFonts w:ascii="Times New Roman;serif" w:hAnsi="Times New Roman;serif"/>
                <w:b/>
                <w:color w:val="000000"/>
                <w:sz w:val="20"/>
              </w:rPr>
            </w:pPr>
            <w:r>
              <w:rPr>
                <w:rFonts w:ascii="Times New Roman;serif" w:hAnsi="Times New Roman;serif"/>
                <w:b/>
                <w:color w:val="000000"/>
                <w:sz w:val="20"/>
              </w:rPr>
              <w:t>Sriram Ryali, M.B.A.</w:t>
            </w:r>
          </w:p>
        </w:tc>
      </w:tr>
      <w:tr>
        <w:trPr/>
        <w:tc>
          <w:tcPr>
            <w:tcW w:w="16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45" w:type="dxa"/>
            <w:gridSpan w:val="3"/>
            <w:tcBorders/>
            <w:tcMar>
              <w:top w:w="0" w:type="dxa"/>
              <w:left w:w="0" w:type="dxa"/>
              <w:bottom w:w="0" w:type="dxa"/>
              <w:right w:w="0" w:type="dxa"/>
            </w:tcMar>
            <w:vAlign w:val="center"/>
          </w:tcPr>
          <w:p>
            <w:pPr>
              <w:pStyle w:val="TableContents"/>
              <w:bidi w:val="0"/>
              <w:spacing w:lineRule="auto" w:line="252" w:before="14" w:after="283"/>
              <w:jc w:val="center"/>
              <w:rPr>
                <w:rFonts w:ascii="Times New Roman;serif" w:hAnsi="Times New Roman;serif"/>
                <w:b/>
                <w:color w:val="000000"/>
                <w:sz w:val="20"/>
              </w:rPr>
            </w:pPr>
            <w:r>
              <w:rPr>
                <w:rFonts w:ascii="Times New Roman;serif" w:hAnsi="Times New Roman;serif"/>
                <w:b/>
                <w:color w:val="000000"/>
                <w:sz w:val="20"/>
              </w:rPr>
              <w:t>Chief Financial Officer</w:t>
            </w:r>
          </w:p>
          <w:p>
            <w:pPr>
              <w:pStyle w:val="TableContents"/>
              <w:bidi w:val="0"/>
              <w:spacing w:lineRule="auto" w:line="252" w:before="14" w:after="283"/>
              <w:jc w:val="center"/>
              <w:rPr>
                <w:rFonts w:ascii="Times New Roman;serif" w:hAnsi="Times New Roman;serif"/>
                <w:b w:val="false"/>
                <w:color w:val="000000"/>
                <w:sz w:val="20"/>
              </w:rPr>
            </w:pPr>
            <w:r>
              <w:rPr>
                <w:rFonts w:ascii="Times New Roman;serif" w:hAnsi="Times New Roman;serif"/>
                <w:b w:val="false"/>
                <w:color w:val="000000"/>
                <w:sz w:val="20"/>
              </w:rPr>
              <w:t>(Principal Financial Officer and Principal Accounting Officer)</w:t>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32">
                <wp:simplePos x="0" y="0"/>
                <wp:positionH relativeFrom="character">
                  <wp:align>left</wp:align>
                </wp:positionH>
                <wp:positionV relativeFrom="line">
                  <wp:posOffset>635</wp:posOffset>
                </wp:positionV>
                <wp:extent cx="6480175" cy="146685"/>
                <wp:effectExtent l="0" t="0" r="0" b="0"/>
                <wp:wrapNone/>
                <wp:docPr id="31" name="Frame3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29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29</w:t>
                      </w:r>
                    </w:p>
                  </w:txbxContent>
                </v:textbox>
                <w10:wrap type="none"/>
              </v:rect>
            </w:pict>
          </mc:Fallback>
        </mc:AlternateContent>
      </w:r>
    </w:p>
    <w:p>
      <w:pPr>
        <w:pStyle w:val="TextBody"/>
        <w:bidi w:val="0"/>
        <w:spacing w:lineRule="auto" w:line="288" w:before="120" w:after="283"/>
        <w:jc w:val="right"/>
        <w:rPr>
          <w:rFonts w:ascii="Times New Roman;serif" w:hAnsi="Times New Roman;serif"/>
          <w:b/>
          <w:color w:val="000000"/>
          <w:sz w:val="20"/>
        </w:rPr>
      </w:pPr>
      <w:r>
        <w:rPr>
          <w:rFonts w:ascii="Times New Roman;serif" w:hAnsi="Times New Roman;serif"/>
          <w:b/>
          <w:color w:val="000000"/>
          <w:sz w:val="20"/>
        </w:rPr>
        <w:t>Exhibit 31.1</w:t>
      </w:r>
    </w:p>
    <w:p>
      <w:pPr>
        <w:pStyle w:val="TextBody"/>
        <w:bidi w:val="0"/>
        <w:spacing w:lineRule="auto" w:line="288" w:before="360" w:after="283"/>
        <w:jc w:val="center"/>
        <w:rPr>
          <w:rFonts w:ascii="Times New Roman;serif" w:hAnsi="Times New Roman;serif"/>
          <w:b/>
          <w:color w:val="000000"/>
          <w:sz w:val="20"/>
        </w:rPr>
      </w:pPr>
      <w:r>
        <w:rPr>
          <w:rFonts w:ascii="Times New Roman;serif" w:hAnsi="Times New Roman;serif"/>
          <w:b/>
          <w:color w:val="000000"/>
          <w:sz w:val="20"/>
        </w:rPr>
        <w:t>CERTIFICATION PURSUANT TO</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RULES 13a-14(a) AND 15d-14(a) UNDER THE SECURITIES EXCHANGE ACT OF 1934,</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AS ADOPTED PURSUANT TO SECTION 302 OF THE SARBANES-OXLEY ACT OF 2002</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I, Rachel E. Haurwitz, certify that:</w:t>
      </w:r>
    </w:p>
    <w:p>
      <w:pPr>
        <w:pStyle w:val="TextBody"/>
        <w:bidi w:val="0"/>
        <w:spacing w:lineRule="auto" w:line="288" w:before="240" w:after="283"/>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1.I have reviewed this Quarterly Report on Form 10-Q for the period ended March 31, 2026 of Caribou Biosciences, Inc.;</w:t>
      </w:r>
    </w:p>
    <w:p>
      <w:pPr>
        <w:pStyle w:val="TextBody"/>
        <w:bidi w:val="0"/>
        <w:spacing w:lineRule="auto" w:line="288" w:before="240" w:after="283"/>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2.Based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lineRule="auto" w:line="288" w:before="240" w:after="283"/>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3.Based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lineRule="auto" w:line="288" w:before="240" w:after="283"/>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4.The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lineRule="auto" w:line="288" w:before="120" w:after="283"/>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(a)Designed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lineRule="auto" w:line="288" w:before="120" w:after="283"/>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(b)Designed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lineRule="auto" w:line="288" w:before="120" w:after="283"/>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(c)Evaluated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lineRule="auto" w:line="288" w:before="120" w:after="283"/>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(d)Disclosed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lineRule="auto" w:line="288" w:before="240" w:after="283"/>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5.The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lineRule="auto" w:line="288" w:before="120" w:after="283"/>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(a)All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lineRule="auto" w:line="288" w:before="120" w:after="283"/>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(b)Any fraud, whether or not material, that involves management or other employees who have a significant role in the registrant's internal control over financial reporting.</w:t>
      </w:r>
    </w:p>
    <w:tbl>
      <w:tblPr>
        <w:tblW w:w="5367" w:type="dxa"/>
        <w:jc w:val="left"/>
        <w:tblInd w:w="0" w:type="dxa"/>
        <w:tblLayout w:type="fixed"/>
        <w:tblCellMar>
          <w:top w:w="28" w:type="dxa"/>
          <w:left w:w="28" w:type="dxa"/>
          <w:bottom w:w="28" w:type="dxa"/>
          <w:right w:w="28" w:type="dxa"/>
        </w:tblCellMar>
      </w:tblPr>
      <w:tblGrid>
        <w:gridCol w:w="591"/>
        <w:gridCol w:w="520"/>
        <w:gridCol w:w="523"/>
        <w:gridCol w:w="134"/>
        <w:gridCol w:w="134"/>
        <w:gridCol w:w="136"/>
        <w:gridCol w:w="973"/>
        <w:gridCol w:w="973"/>
        <w:gridCol w:w="1383"/>
      </w:tblGrid>
      <w:tr>
        <w:trPr/>
        <w:tc>
          <w:tcPr>
            <w:tcW w:w="591" w:type="dxa"/>
            <w:tcBorders/>
            <w:vAlign w:val="center"/>
          </w:tcPr>
          <w:p>
            <w:pPr>
              <w:pStyle w:val="TableContents"/>
              <w:bidi w:val="0"/>
              <w:spacing w:before="0" w:after="283"/>
              <w:jc w:val="left"/>
              <w:rPr>
                <w:sz w:val="4"/>
                <w:szCs w:val="4"/>
              </w:rPr>
            </w:pPr>
            <w:r>
              <w:rPr>
                <w:sz w:val="4"/>
                <w:szCs w:val="4"/>
              </w:rPr>
            </w:r>
          </w:p>
        </w:tc>
        <w:tc>
          <w:tcPr>
            <w:tcW w:w="520" w:type="dxa"/>
            <w:tcBorders/>
            <w:vAlign w:val="center"/>
          </w:tcPr>
          <w:p>
            <w:pPr>
              <w:pStyle w:val="TableContents"/>
              <w:bidi w:val="0"/>
              <w:spacing w:before="0" w:after="283"/>
              <w:jc w:val="left"/>
              <w:rPr>
                <w:sz w:val="4"/>
                <w:szCs w:val="4"/>
              </w:rPr>
            </w:pPr>
            <w:r>
              <w:rPr>
                <w:sz w:val="4"/>
                <w:szCs w:val="4"/>
              </w:rPr>
            </w:r>
          </w:p>
        </w:tc>
        <w:tc>
          <w:tcPr>
            <w:tcW w:w="523"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973" w:type="dxa"/>
            <w:tcBorders/>
            <w:vAlign w:val="center"/>
          </w:tcPr>
          <w:p>
            <w:pPr>
              <w:pStyle w:val="TableContents"/>
              <w:bidi w:val="0"/>
              <w:spacing w:before="0" w:after="283"/>
              <w:jc w:val="left"/>
              <w:rPr>
                <w:sz w:val="4"/>
                <w:szCs w:val="4"/>
              </w:rPr>
            </w:pPr>
            <w:r>
              <w:rPr>
                <w:sz w:val="4"/>
                <w:szCs w:val="4"/>
              </w:rPr>
            </w:r>
          </w:p>
        </w:tc>
        <w:tc>
          <w:tcPr>
            <w:tcW w:w="973" w:type="dxa"/>
            <w:tcBorders/>
            <w:vAlign w:val="center"/>
          </w:tcPr>
          <w:p>
            <w:pPr>
              <w:pStyle w:val="TableContents"/>
              <w:bidi w:val="0"/>
              <w:spacing w:before="0" w:after="283"/>
              <w:jc w:val="left"/>
              <w:rPr>
                <w:sz w:val="4"/>
                <w:szCs w:val="4"/>
              </w:rPr>
            </w:pPr>
            <w:r>
              <w:rPr>
                <w:sz w:val="4"/>
                <w:szCs w:val="4"/>
              </w:rPr>
            </w:r>
          </w:p>
        </w:tc>
        <w:tc>
          <w:tcPr>
            <w:tcW w:w="1383" w:type="dxa"/>
            <w:tcBorders/>
            <w:vAlign w:val="center"/>
          </w:tcPr>
          <w:p>
            <w:pPr>
              <w:pStyle w:val="TableContents"/>
              <w:bidi w:val="0"/>
              <w:spacing w:before="0" w:after="283"/>
              <w:jc w:val="left"/>
              <w:rPr>
                <w:sz w:val="4"/>
                <w:szCs w:val="4"/>
              </w:rPr>
            </w:pPr>
            <w:r>
              <w:rPr>
                <w:sz w:val="4"/>
                <w:szCs w:val="4"/>
              </w:rPr>
            </w:r>
          </w:p>
        </w:tc>
      </w:tr>
      <w:tr>
        <w:trPr/>
        <w:tc>
          <w:tcPr>
            <w:tcW w:w="1634" w:type="dxa"/>
            <w:gridSpan w:val="3"/>
            <w:tcBorders/>
            <w:tcMar>
              <w:top w:w="0" w:type="dxa"/>
              <w:left w:w="0" w:type="dxa"/>
              <w:bottom w:w="0" w:type="dxa"/>
              <w:right w:w="0" w:type="dxa"/>
            </w:tcMar>
            <w:vAlign w:val="center"/>
          </w:tcPr>
          <w:p>
            <w:pPr>
              <w:pStyle w:val="TableContents"/>
              <w:bidi w:val="0"/>
              <w:spacing w:lineRule="auto" w:line="252" w:before="0" w:after="0"/>
              <w:jc w:val="left"/>
              <w:rPr>
                <w:rFonts w:ascii="Times New Roman;serif" w:hAnsi="Times New Roman;serif"/>
                <w:b w:val="false"/>
                <w:color w:val="000000"/>
                <w:sz w:val="20"/>
              </w:rPr>
            </w:pPr>
            <w:r>
              <w:rPr>
                <w:rFonts w:ascii="Times New Roman;serif" w:hAnsi="Times New Roman;serif"/>
                <w:b w:val="false"/>
                <w:color w:val="000000"/>
                <w:sz w:val="20"/>
              </w:rPr>
              <w:t>Date: May 7, 2026</w:t>
            </w:r>
          </w:p>
        </w:tc>
        <w:tc>
          <w:tcPr>
            <w:tcW w:w="404" w:type="dxa"/>
            <w:gridSpan w:val="3"/>
            <w:tcBorders/>
            <w:tcMar>
              <w:top w:w="0" w:type="dxa"/>
              <w:left w:w="0" w:type="dxa"/>
              <w:bottom w:w="0" w:type="dxa"/>
              <w:right w:w="0" w:type="dxa"/>
            </w:tcMar>
            <w:vAlign w:val="center"/>
          </w:tcPr>
          <w:p>
            <w:pPr>
              <w:pStyle w:val="TableContents"/>
              <w:bidi w:val="0"/>
              <w:spacing w:lineRule="auto" w:line="252" w:before="0" w:after="283"/>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3329" w:type="dxa"/>
            <w:gridSpan w:val="3"/>
            <w:tcBorders/>
            <w:tcMar>
              <w:top w:w="0" w:type="dxa"/>
              <w:left w:w="0" w:type="dxa"/>
              <w:bottom w:w="0" w:type="dxa"/>
              <w:right w:w="0" w:type="dxa"/>
            </w:tcMar>
            <w:vAlign w:val="center"/>
          </w:tcPr>
          <w:p>
            <w:pPr>
              <w:pStyle w:val="TableContents"/>
              <w:bidi w:val="0"/>
              <w:spacing w:lineRule="auto" w:line="252" w:before="0" w:after="283"/>
              <w:jc w:val="left"/>
              <w:rPr>
                <w:rFonts w:ascii="Times New Roman;serif" w:hAnsi="Times New Roman;serif"/>
                <w:b w:val="false"/>
                <w:color w:val="000000"/>
                <w:sz w:val="20"/>
              </w:rPr>
            </w:pPr>
            <w:r>
              <w:rPr>
                <w:rFonts w:ascii="Times New Roman;serif" w:hAnsi="Times New Roman;serif"/>
                <w:b w:val="false"/>
                <w:color w:val="000000"/>
                <w:sz w:val="20"/>
              </w:rPr>
              <w:t>/s/ Rachel E. Haurwitz</w:t>
            </w:r>
          </w:p>
        </w:tc>
      </w:tr>
      <w:tr>
        <w:trPr/>
        <w:tc>
          <w:tcPr>
            <w:tcW w:w="16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2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52" w:before="0" w:after="0"/>
              <w:jc w:val="center"/>
              <w:rPr>
                <w:rFonts w:ascii="Times New Roman;serif" w:hAnsi="Times New Roman;serif"/>
                <w:b/>
                <w:color w:val="000000"/>
                <w:sz w:val="20"/>
              </w:rPr>
            </w:pPr>
            <w:r>
              <w:rPr>
                <w:rFonts w:ascii="Times New Roman;serif" w:hAnsi="Times New Roman;serif"/>
                <w:b/>
                <w:color w:val="000000"/>
                <w:sz w:val="20"/>
              </w:rPr>
              <w:t>Rachel E. Haurwitz, Ph.D.</w:t>
            </w:r>
          </w:p>
        </w:tc>
      </w:tr>
      <w:tr>
        <w:trPr/>
        <w:tc>
          <w:tcPr>
            <w:tcW w:w="16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29" w:type="dxa"/>
            <w:gridSpan w:val="3"/>
            <w:tcBorders/>
            <w:tcMar>
              <w:top w:w="0" w:type="dxa"/>
              <w:left w:w="0" w:type="dxa"/>
              <w:bottom w:w="0" w:type="dxa"/>
              <w:right w:w="0" w:type="dxa"/>
            </w:tcMar>
            <w:vAlign w:val="center"/>
          </w:tcPr>
          <w:p>
            <w:pPr>
              <w:pStyle w:val="TableContents"/>
              <w:bidi w:val="0"/>
              <w:spacing w:lineRule="auto" w:line="252" w:before="0" w:after="0"/>
              <w:jc w:val="center"/>
              <w:rPr>
                <w:rFonts w:ascii="Times New Roman;serif" w:hAnsi="Times New Roman;serif"/>
                <w:b/>
                <w:color w:val="000000"/>
                <w:sz w:val="20"/>
              </w:rPr>
            </w:pPr>
            <w:r>
              <w:rPr>
                <w:rFonts w:ascii="Times New Roman;serif" w:hAnsi="Times New Roman;serif"/>
                <w:b/>
                <w:color w:val="000000"/>
                <w:sz w:val="20"/>
              </w:rPr>
              <w:t>President and Chief Executive Officer</w:t>
            </w:r>
          </w:p>
          <w:p>
            <w:pPr>
              <w:pStyle w:val="TableContents"/>
              <w:bidi w:val="0"/>
              <w:spacing w:lineRule="auto" w:line="252" w:before="0" w:after="0"/>
              <w:jc w:val="center"/>
              <w:rPr>
                <w:rFonts w:ascii="Times New Roman;serif" w:hAnsi="Times New Roman;serif"/>
                <w:b w:val="false"/>
                <w:color w:val="000000"/>
                <w:sz w:val="20"/>
              </w:rPr>
            </w:pPr>
            <w:r>
              <w:rPr>
                <w:rFonts w:ascii="Times New Roman;serif" w:hAnsi="Times New Roman;serif"/>
                <w:b w:val="false"/>
                <w:color w:val="000000"/>
                <w:sz w:val="20"/>
              </w:rPr>
              <w:t>(Principal Executive Officer)</w:t>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33">
                <wp:simplePos x="0" y="0"/>
                <wp:positionH relativeFrom="character">
                  <wp:align>left</wp:align>
                </wp:positionH>
                <wp:positionV relativeFrom="line">
                  <wp:posOffset>635</wp:posOffset>
                </wp:positionV>
                <wp:extent cx="6480175" cy="175260"/>
                <wp:effectExtent l="0" t="0" r="0" b="0"/>
                <wp:wrapNone/>
                <wp:docPr id="32" name="Frame3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120" w:after="283"/>
        <w:jc w:val="right"/>
        <w:rPr>
          <w:rFonts w:ascii="Times New Roman;serif" w:hAnsi="Times New Roman;serif"/>
          <w:b/>
          <w:color w:val="000000"/>
          <w:sz w:val="20"/>
        </w:rPr>
      </w:pPr>
      <w:r>
        <w:rPr>
          <w:rFonts w:ascii="Times New Roman;serif" w:hAnsi="Times New Roman;serif"/>
          <w:b/>
          <w:color w:val="000000"/>
          <w:sz w:val="20"/>
        </w:rPr>
        <w:t>Exhibit 31.2</w:t>
      </w:r>
    </w:p>
    <w:p>
      <w:pPr>
        <w:pStyle w:val="TextBody"/>
        <w:bidi w:val="0"/>
        <w:spacing w:lineRule="auto" w:line="288" w:before="360" w:after="283"/>
        <w:jc w:val="center"/>
        <w:rPr>
          <w:rFonts w:ascii="Times New Roman;serif" w:hAnsi="Times New Roman;serif"/>
          <w:b/>
          <w:color w:val="000000"/>
          <w:sz w:val="20"/>
        </w:rPr>
      </w:pPr>
      <w:r>
        <w:rPr>
          <w:rFonts w:ascii="Times New Roman;serif" w:hAnsi="Times New Roman;serif"/>
          <w:b/>
          <w:color w:val="000000"/>
          <w:sz w:val="20"/>
        </w:rPr>
        <w:t>CERTIFICATION PURSUANT TO</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RULES 13a-14(a) AND 15d-14(a) UNDER THE SECURITIES EXCHANGE ACT OF 1934,</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AS ADOPTED PURSUANT TO SECTION 302 OF THE SARBANES-OXLEY ACT OF 2002</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I, Sriram Ryali, certify that:</w:t>
      </w:r>
    </w:p>
    <w:p>
      <w:pPr>
        <w:pStyle w:val="TextBody"/>
        <w:bidi w:val="0"/>
        <w:spacing w:lineRule="auto" w:line="288" w:before="240" w:after="283"/>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1.I have reviewed this Quarterly Report on Form 10-Q for the period ended March 31, 2026 of Caribou Biosciences, Inc.;</w:t>
      </w:r>
    </w:p>
    <w:p>
      <w:pPr>
        <w:pStyle w:val="TextBody"/>
        <w:bidi w:val="0"/>
        <w:spacing w:lineRule="auto" w:line="288" w:before="240" w:after="283"/>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2.Based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lineRule="auto" w:line="288" w:before="240" w:after="283"/>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3.Based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lineRule="auto" w:line="288" w:before="240" w:after="283"/>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4.The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lineRule="auto" w:line="288" w:before="120" w:after="283"/>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(a)Designed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lineRule="auto" w:line="288" w:before="120" w:after="283"/>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(b)Designed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lineRule="auto" w:line="288" w:before="120" w:after="283"/>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(c)Evaluated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lineRule="auto" w:line="288" w:before="120" w:after="283"/>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(d)Disclosed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lineRule="auto" w:line="288" w:before="240" w:after="283"/>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5.The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lineRule="auto" w:line="288" w:before="120" w:after="283"/>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(a)All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lineRule="auto" w:line="288" w:before="120" w:after="283"/>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(b)Any fraud, whether or not material, that involves management or other employees who have a significant role in the registrant's internal control over financial reporting.</w:t>
      </w:r>
    </w:p>
    <w:tbl>
      <w:tblPr>
        <w:tblW w:w="7182" w:type="dxa"/>
        <w:jc w:val="left"/>
        <w:tblInd w:w="0" w:type="dxa"/>
        <w:tblLayout w:type="fixed"/>
        <w:tblCellMar>
          <w:top w:w="28" w:type="dxa"/>
          <w:left w:w="28" w:type="dxa"/>
          <w:bottom w:w="28" w:type="dxa"/>
          <w:right w:w="28" w:type="dxa"/>
        </w:tblCellMar>
      </w:tblPr>
      <w:tblGrid>
        <w:gridCol w:w="591"/>
        <w:gridCol w:w="520"/>
        <w:gridCol w:w="523"/>
        <w:gridCol w:w="134"/>
        <w:gridCol w:w="134"/>
        <w:gridCol w:w="136"/>
        <w:gridCol w:w="1506"/>
        <w:gridCol w:w="1506"/>
        <w:gridCol w:w="2132"/>
      </w:tblGrid>
      <w:tr>
        <w:trPr/>
        <w:tc>
          <w:tcPr>
            <w:tcW w:w="591" w:type="dxa"/>
            <w:tcBorders/>
            <w:vAlign w:val="center"/>
          </w:tcPr>
          <w:p>
            <w:pPr>
              <w:pStyle w:val="TableContents"/>
              <w:bidi w:val="0"/>
              <w:spacing w:before="0" w:after="283"/>
              <w:jc w:val="left"/>
              <w:rPr>
                <w:sz w:val="4"/>
                <w:szCs w:val="4"/>
              </w:rPr>
            </w:pPr>
            <w:r>
              <w:rPr>
                <w:sz w:val="4"/>
                <w:szCs w:val="4"/>
              </w:rPr>
            </w:r>
          </w:p>
        </w:tc>
        <w:tc>
          <w:tcPr>
            <w:tcW w:w="520" w:type="dxa"/>
            <w:tcBorders/>
            <w:vAlign w:val="center"/>
          </w:tcPr>
          <w:p>
            <w:pPr>
              <w:pStyle w:val="TableContents"/>
              <w:bidi w:val="0"/>
              <w:spacing w:before="0" w:after="283"/>
              <w:jc w:val="left"/>
              <w:rPr>
                <w:sz w:val="4"/>
                <w:szCs w:val="4"/>
              </w:rPr>
            </w:pPr>
            <w:r>
              <w:rPr>
                <w:sz w:val="4"/>
                <w:szCs w:val="4"/>
              </w:rPr>
            </w:r>
          </w:p>
        </w:tc>
        <w:tc>
          <w:tcPr>
            <w:tcW w:w="523"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506" w:type="dxa"/>
            <w:tcBorders/>
            <w:vAlign w:val="center"/>
          </w:tcPr>
          <w:p>
            <w:pPr>
              <w:pStyle w:val="TableContents"/>
              <w:bidi w:val="0"/>
              <w:spacing w:before="0" w:after="283"/>
              <w:jc w:val="left"/>
              <w:rPr>
                <w:sz w:val="4"/>
                <w:szCs w:val="4"/>
              </w:rPr>
            </w:pPr>
            <w:r>
              <w:rPr>
                <w:sz w:val="4"/>
                <w:szCs w:val="4"/>
              </w:rPr>
            </w:r>
          </w:p>
        </w:tc>
        <w:tc>
          <w:tcPr>
            <w:tcW w:w="1506" w:type="dxa"/>
            <w:tcBorders/>
            <w:vAlign w:val="center"/>
          </w:tcPr>
          <w:p>
            <w:pPr>
              <w:pStyle w:val="TableContents"/>
              <w:bidi w:val="0"/>
              <w:spacing w:before="0" w:after="283"/>
              <w:jc w:val="left"/>
              <w:rPr>
                <w:sz w:val="4"/>
                <w:szCs w:val="4"/>
              </w:rPr>
            </w:pPr>
            <w:r>
              <w:rPr>
                <w:sz w:val="4"/>
                <w:szCs w:val="4"/>
              </w:rPr>
            </w:r>
          </w:p>
        </w:tc>
        <w:tc>
          <w:tcPr>
            <w:tcW w:w="2132" w:type="dxa"/>
            <w:tcBorders/>
            <w:vAlign w:val="center"/>
          </w:tcPr>
          <w:p>
            <w:pPr>
              <w:pStyle w:val="TableContents"/>
              <w:bidi w:val="0"/>
              <w:spacing w:before="0" w:after="283"/>
              <w:jc w:val="left"/>
              <w:rPr>
                <w:sz w:val="4"/>
                <w:szCs w:val="4"/>
              </w:rPr>
            </w:pPr>
            <w:r>
              <w:rPr>
                <w:sz w:val="4"/>
                <w:szCs w:val="4"/>
              </w:rPr>
            </w:r>
          </w:p>
        </w:tc>
      </w:tr>
      <w:tr>
        <w:trPr/>
        <w:tc>
          <w:tcPr>
            <w:tcW w:w="1634" w:type="dxa"/>
            <w:gridSpan w:val="3"/>
            <w:tcBorders/>
            <w:tcMar>
              <w:top w:w="0" w:type="dxa"/>
              <w:left w:w="0" w:type="dxa"/>
              <w:bottom w:w="0" w:type="dxa"/>
              <w:right w:w="0" w:type="dxa"/>
            </w:tcMar>
            <w:vAlign w:val="center"/>
          </w:tcPr>
          <w:p>
            <w:pPr>
              <w:pStyle w:val="TableContents"/>
              <w:bidi w:val="0"/>
              <w:spacing w:lineRule="auto" w:line="252" w:before="0" w:after="0"/>
              <w:jc w:val="left"/>
              <w:rPr>
                <w:rFonts w:ascii="Times New Roman;serif" w:hAnsi="Times New Roman;serif"/>
                <w:b w:val="false"/>
                <w:color w:val="000000"/>
                <w:sz w:val="20"/>
              </w:rPr>
            </w:pPr>
            <w:r>
              <w:rPr>
                <w:rFonts w:ascii="Times New Roman;serif" w:hAnsi="Times New Roman;serif"/>
                <w:b w:val="false"/>
                <w:color w:val="000000"/>
                <w:sz w:val="20"/>
              </w:rPr>
              <w:t>Date: May 7, 2026</w:t>
            </w:r>
          </w:p>
        </w:tc>
        <w:tc>
          <w:tcPr>
            <w:tcW w:w="404" w:type="dxa"/>
            <w:gridSpan w:val="3"/>
            <w:tcBorders/>
            <w:tcMar>
              <w:top w:w="0" w:type="dxa"/>
              <w:left w:w="0" w:type="dxa"/>
              <w:bottom w:w="0" w:type="dxa"/>
              <w:right w:w="0" w:type="dxa"/>
            </w:tcMar>
            <w:vAlign w:val="center"/>
          </w:tcPr>
          <w:p>
            <w:pPr>
              <w:pStyle w:val="TableContents"/>
              <w:bidi w:val="0"/>
              <w:spacing w:lineRule="auto" w:line="252" w:before="0" w:after="283"/>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5144" w:type="dxa"/>
            <w:gridSpan w:val="3"/>
            <w:tcBorders/>
            <w:tcMar>
              <w:top w:w="0" w:type="dxa"/>
              <w:left w:w="0" w:type="dxa"/>
              <w:bottom w:w="0" w:type="dxa"/>
              <w:right w:w="0" w:type="dxa"/>
            </w:tcMar>
            <w:vAlign w:val="center"/>
          </w:tcPr>
          <w:p>
            <w:pPr>
              <w:pStyle w:val="TableContents"/>
              <w:bidi w:val="0"/>
              <w:spacing w:lineRule="auto" w:line="252" w:before="0" w:after="0"/>
              <w:jc w:val="left"/>
              <w:rPr>
                <w:color w:val="000000"/>
              </w:rPr>
            </w:pPr>
            <w:r>
              <w:rPr>
                <w:color w:val="000000"/>
              </w:rPr>
              <w:t> </w:t>
            </w:r>
            <w:r>
              <w:rPr>
                <w:rFonts w:ascii="Times New Roman;serif" w:hAnsi="Times New Roman;serif"/>
                <w:b w:val="false"/>
                <w:color w:val="000000"/>
                <w:sz w:val="20"/>
              </w:rPr>
              <w:t>/s/ Sriram Ryali</w:t>
            </w:r>
          </w:p>
        </w:tc>
      </w:tr>
      <w:tr>
        <w:trPr/>
        <w:tc>
          <w:tcPr>
            <w:tcW w:w="16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4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52" w:before="0" w:after="0"/>
              <w:jc w:val="center"/>
              <w:rPr>
                <w:rFonts w:ascii="Times New Roman;serif" w:hAnsi="Times New Roman;serif"/>
                <w:b/>
                <w:color w:val="000000"/>
                <w:sz w:val="20"/>
              </w:rPr>
            </w:pPr>
            <w:r>
              <w:rPr>
                <w:rFonts w:ascii="Times New Roman;serif" w:hAnsi="Times New Roman;serif"/>
                <w:b/>
                <w:color w:val="000000"/>
                <w:sz w:val="20"/>
              </w:rPr>
              <w:t>Sriram Ryali, M.B.A.</w:t>
            </w:r>
          </w:p>
        </w:tc>
      </w:tr>
      <w:tr>
        <w:trPr/>
        <w:tc>
          <w:tcPr>
            <w:tcW w:w="16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44" w:type="dxa"/>
            <w:gridSpan w:val="3"/>
            <w:tcBorders/>
            <w:tcMar>
              <w:top w:w="0" w:type="dxa"/>
              <w:left w:w="0" w:type="dxa"/>
              <w:bottom w:w="0" w:type="dxa"/>
              <w:right w:w="0" w:type="dxa"/>
            </w:tcMar>
            <w:vAlign w:val="center"/>
          </w:tcPr>
          <w:p>
            <w:pPr>
              <w:pStyle w:val="TableContents"/>
              <w:bidi w:val="0"/>
              <w:spacing w:lineRule="auto" w:line="252" w:before="0" w:after="0"/>
              <w:jc w:val="center"/>
              <w:rPr>
                <w:rFonts w:ascii="Times New Roman;serif" w:hAnsi="Times New Roman;serif"/>
                <w:b/>
                <w:color w:val="000000"/>
                <w:sz w:val="20"/>
              </w:rPr>
            </w:pPr>
            <w:r>
              <w:rPr>
                <w:rFonts w:ascii="Times New Roman;serif" w:hAnsi="Times New Roman;serif"/>
                <w:b/>
                <w:color w:val="000000"/>
                <w:sz w:val="20"/>
              </w:rPr>
              <w:t>Chief Financial Officer</w:t>
            </w:r>
          </w:p>
          <w:p>
            <w:pPr>
              <w:pStyle w:val="TableContents"/>
              <w:bidi w:val="0"/>
              <w:spacing w:lineRule="auto" w:line="252" w:before="0" w:after="0"/>
              <w:jc w:val="center"/>
              <w:rPr>
                <w:rFonts w:ascii="Times New Roman;serif" w:hAnsi="Times New Roman;serif"/>
                <w:b w:val="false"/>
                <w:color w:val="000000"/>
                <w:sz w:val="20"/>
              </w:rPr>
            </w:pPr>
            <w:r>
              <w:rPr>
                <w:rFonts w:ascii="Times New Roman;serif" w:hAnsi="Times New Roman;serif"/>
                <w:b w:val="false"/>
                <w:color w:val="000000"/>
                <w:sz w:val="20"/>
              </w:rPr>
              <w:t>(Principal Financial Officer and Principal Accounting Officer)</w:t>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34">
                <wp:simplePos x="0" y="0"/>
                <wp:positionH relativeFrom="character">
                  <wp:align>left</wp:align>
                </wp:positionH>
                <wp:positionV relativeFrom="line">
                  <wp:posOffset>635</wp:posOffset>
                </wp:positionV>
                <wp:extent cx="6480175" cy="175260"/>
                <wp:effectExtent l="0" t="0" r="0" b="0"/>
                <wp:wrapNone/>
                <wp:docPr id="33" name="Frame3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120" w:after="283"/>
        <w:jc w:val="right"/>
        <w:rPr>
          <w:rFonts w:ascii="Times New Roman;serif" w:hAnsi="Times New Roman;serif"/>
          <w:b/>
          <w:color w:val="000000"/>
          <w:sz w:val="20"/>
        </w:rPr>
      </w:pPr>
      <w:r>
        <w:rPr>
          <w:rFonts w:ascii="Times New Roman;serif" w:hAnsi="Times New Roman;serif"/>
          <w:b/>
          <w:color w:val="000000"/>
          <w:sz w:val="20"/>
        </w:rPr>
        <w:t>Exhibit 32.1</w:t>
      </w:r>
    </w:p>
    <w:p>
      <w:pPr>
        <w:pStyle w:val="TextBody"/>
        <w:bidi w:val="0"/>
        <w:spacing w:lineRule="auto" w:line="288" w:before="360" w:after="283"/>
        <w:jc w:val="center"/>
        <w:rPr>
          <w:rFonts w:ascii="Times New Roman;serif" w:hAnsi="Times New Roman;serif"/>
          <w:b/>
          <w:color w:val="000000"/>
          <w:sz w:val="20"/>
        </w:rPr>
      </w:pPr>
      <w:r>
        <w:rPr>
          <w:rFonts w:ascii="Times New Roman;serif" w:hAnsi="Times New Roman;serif"/>
          <w:b/>
          <w:color w:val="000000"/>
          <w:sz w:val="20"/>
        </w:rPr>
        <w:t>CERTIFICATION PURSUANT TO</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18 U.S.C. SECTION 1350, AS ADOPTED PURSUANT TO</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SECTION 906 OF THE SARBANES-OXLEY ACT OF 2002</w:t>
      </w:r>
    </w:p>
    <w:p>
      <w:pPr>
        <w:pStyle w:val="TextBody"/>
        <w:bidi w:val="0"/>
        <w:spacing w:lineRule="auto" w:line="288" w:before="24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In connection with the Quarterly Report of Caribou Biosciences, Inc. (the “Company”) on Form 10-Q for the period ended March 31, 2026 as filed with the Securities and Exchange Commission on the date hereof (the “Report”), I certify, pursuant to 18 U.S.C. § 1350, as adopted pursuant to § 906 of the Sarbanes-Oxley Act of 2002, that, to the best of my knowledge:</w:t>
      </w:r>
    </w:p>
    <w:p>
      <w:pPr>
        <w:pStyle w:val="TextBody"/>
        <w:bidi w:val="0"/>
        <w:spacing w:lineRule="auto" w:line="288" w:before="120" w:after="283"/>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(1)The Report fully complies with the requirements of section 13(a) or 15(d) of the Securities Exchange Act of 1934; and</w:t>
      </w:r>
    </w:p>
    <w:p>
      <w:pPr>
        <w:pStyle w:val="TextBody"/>
        <w:bidi w:val="0"/>
        <w:spacing w:lineRule="auto" w:line="288" w:before="120" w:after="283"/>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(2)The information contained in the Report fairly presents, in all material respects, the financial condition and result of operations of the Company.</w:t>
      </w:r>
    </w:p>
    <w:tbl>
      <w:tblPr>
        <w:tblW w:w="5367" w:type="dxa"/>
        <w:jc w:val="left"/>
        <w:tblInd w:w="0" w:type="dxa"/>
        <w:tblLayout w:type="fixed"/>
        <w:tblCellMar>
          <w:top w:w="28" w:type="dxa"/>
          <w:left w:w="28" w:type="dxa"/>
          <w:bottom w:w="28" w:type="dxa"/>
          <w:right w:w="28" w:type="dxa"/>
        </w:tblCellMar>
      </w:tblPr>
      <w:tblGrid>
        <w:gridCol w:w="591"/>
        <w:gridCol w:w="520"/>
        <w:gridCol w:w="523"/>
        <w:gridCol w:w="134"/>
        <w:gridCol w:w="134"/>
        <w:gridCol w:w="136"/>
        <w:gridCol w:w="973"/>
        <w:gridCol w:w="973"/>
        <w:gridCol w:w="1383"/>
      </w:tblGrid>
      <w:tr>
        <w:trPr/>
        <w:tc>
          <w:tcPr>
            <w:tcW w:w="591" w:type="dxa"/>
            <w:tcBorders/>
            <w:vAlign w:val="center"/>
          </w:tcPr>
          <w:p>
            <w:pPr>
              <w:pStyle w:val="TableContents"/>
              <w:bidi w:val="0"/>
              <w:spacing w:before="0" w:after="283"/>
              <w:jc w:val="left"/>
              <w:rPr>
                <w:sz w:val="4"/>
                <w:szCs w:val="4"/>
              </w:rPr>
            </w:pPr>
            <w:r>
              <w:rPr>
                <w:sz w:val="4"/>
                <w:szCs w:val="4"/>
              </w:rPr>
            </w:r>
          </w:p>
        </w:tc>
        <w:tc>
          <w:tcPr>
            <w:tcW w:w="520" w:type="dxa"/>
            <w:tcBorders/>
            <w:vAlign w:val="center"/>
          </w:tcPr>
          <w:p>
            <w:pPr>
              <w:pStyle w:val="TableContents"/>
              <w:bidi w:val="0"/>
              <w:spacing w:before="0" w:after="283"/>
              <w:jc w:val="left"/>
              <w:rPr>
                <w:sz w:val="4"/>
                <w:szCs w:val="4"/>
              </w:rPr>
            </w:pPr>
            <w:r>
              <w:rPr>
                <w:sz w:val="4"/>
                <w:szCs w:val="4"/>
              </w:rPr>
            </w:r>
          </w:p>
        </w:tc>
        <w:tc>
          <w:tcPr>
            <w:tcW w:w="523"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973" w:type="dxa"/>
            <w:tcBorders/>
            <w:vAlign w:val="center"/>
          </w:tcPr>
          <w:p>
            <w:pPr>
              <w:pStyle w:val="TableContents"/>
              <w:bidi w:val="0"/>
              <w:spacing w:before="0" w:after="283"/>
              <w:jc w:val="left"/>
              <w:rPr>
                <w:sz w:val="4"/>
                <w:szCs w:val="4"/>
              </w:rPr>
            </w:pPr>
            <w:r>
              <w:rPr>
                <w:sz w:val="4"/>
                <w:szCs w:val="4"/>
              </w:rPr>
            </w:r>
          </w:p>
        </w:tc>
        <w:tc>
          <w:tcPr>
            <w:tcW w:w="973" w:type="dxa"/>
            <w:tcBorders/>
            <w:vAlign w:val="center"/>
          </w:tcPr>
          <w:p>
            <w:pPr>
              <w:pStyle w:val="TableContents"/>
              <w:bidi w:val="0"/>
              <w:spacing w:before="0" w:after="283"/>
              <w:jc w:val="left"/>
              <w:rPr>
                <w:sz w:val="4"/>
                <w:szCs w:val="4"/>
              </w:rPr>
            </w:pPr>
            <w:r>
              <w:rPr>
                <w:sz w:val="4"/>
                <w:szCs w:val="4"/>
              </w:rPr>
            </w:r>
          </w:p>
        </w:tc>
        <w:tc>
          <w:tcPr>
            <w:tcW w:w="1383" w:type="dxa"/>
            <w:tcBorders/>
            <w:vAlign w:val="center"/>
          </w:tcPr>
          <w:p>
            <w:pPr>
              <w:pStyle w:val="TableContents"/>
              <w:bidi w:val="0"/>
              <w:spacing w:before="0" w:after="283"/>
              <w:jc w:val="left"/>
              <w:rPr>
                <w:sz w:val="4"/>
                <w:szCs w:val="4"/>
              </w:rPr>
            </w:pPr>
            <w:r>
              <w:rPr>
                <w:sz w:val="4"/>
                <w:szCs w:val="4"/>
              </w:rPr>
            </w:r>
          </w:p>
        </w:tc>
      </w:tr>
      <w:tr>
        <w:trPr/>
        <w:tc>
          <w:tcPr>
            <w:tcW w:w="1634" w:type="dxa"/>
            <w:gridSpan w:val="3"/>
            <w:tcBorders/>
            <w:tcMar>
              <w:top w:w="0" w:type="dxa"/>
              <w:left w:w="0" w:type="dxa"/>
              <w:bottom w:w="0" w:type="dxa"/>
              <w:right w:w="0" w:type="dxa"/>
            </w:tcMar>
            <w:vAlign w:val="center"/>
          </w:tcPr>
          <w:p>
            <w:pPr>
              <w:pStyle w:val="TableContents"/>
              <w:bidi w:val="0"/>
              <w:spacing w:lineRule="auto" w:line="252" w:before="0" w:after="0"/>
              <w:jc w:val="left"/>
              <w:rPr>
                <w:rFonts w:ascii="Times New Roman;serif" w:hAnsi="Times New Roman;serif"/>
                <w:b w:val="false"/>
                <w:color w:val="000000"/>
                <w:sz w:val="20"/>
              </w:rPr>
            </w:pPr>
            <w:r>
              <w:rPr>
                <w:rFonts w:ascii="Times New Roman;serif" w:hAnsi="Times New Roman;serif"/>
                <w:b w:val="false"/>
                <w:color w:val="000000"/>
                <w:sz w:val="20"/>
              </w:rPr>
              <w:t>Date: May 7, 2026</w:t>
            </w:r>
          </w:p>
        </w:tc>
        <w:tc>
          <w:tcPr>
            <w:tcW w:w="404" w:type="dxa"/>
            <w:gridSpan w:val="3"/>
            <w:tcBorders/>
            <w:tcMar>
              <w:top w:w="0" w:type="dxa"/>
              <w:left w:w="0" w:type="dxa"/>
              <w:bottom w:w="0" w:type="dxa"/>
              <w:right w:w="0" w:type="dxa"/>
            </w:tcMar>
            <w:vAlign w:val="center"/>
          </w:tcPr>
          <w:p>
            <w:pPr>
              <w:pStyle w:val="TableContents"/>
              <w:bidi w:val="0"/>
              <w:spacing w:lineRule="auto" w:line="252" w:before="0" w:after="283"/>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3329" w:type="dxa"/>
            <w:gridSpan w:val="3"/>
            <w:tcBorders/>
            <w:tcMar>
              <w:top w:w="0" w:type="dxa"/>
              <w:left w:w="0" w:type="dxa"/>
              <w:bottom w:w="0" w:type="dxa"/>
              <w:right w:w="0" w:type="dxa"/>
            </w:tcMar>
            <w:vAlign w:val="center"/>
          </w:tcPr>
          <w:p>
            <w:pPr>
              <w:pStyle w:val="TableContents"/>
              <w:bidi w:val="0"/>
              <w:spacing w:lineRule="auto" w:line="252" w:before="0" w:after="283"/>
              <w:jc w:val="left"/>
              <w:rPr>
                <w:color w:val="000000"/>
              </w:rPr>
            </w:pPr>
            <w:r>
              <w:rPr>
                <w:color w:val="000000"/>
              </w:rPr>
              <w:t> </w:t>
            </w:r>
            <w:r>
              <w:rPr>
                <w:rFonts w:ascii="Times New Roman;serif" w:hAnsi="Times New Roman;serif"/>
                <w:b w:val="false"/>
                <w:color w:val="000000"/>
                <w:sz w:val="20"/>
              </w:rPr>
              <w:t>/s/ Rachel E. Haurwitz</w:t>
            </w:r>
          </w:p>
        </w:tc>
      </w:tr>
      <w:tr>
        <w:trPr/>
        <w:tc>
          <w:tcPr>
            <w:tcW w:w="16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2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52" w:before="0" w:after="0"/>
              <w:jc w:val="center"/>
              <w:rPr>
                <w:rFonts w:ascii="Times New Roman;serif" w:hAnsi="Times New Roman;serif"/>
                <w:b/>
                <w:color w:val="000000"/>
                <w:sz w:val="20"/>
              </w:rPr>
            </w:pPr>
            <w:r>
              <w:rPr>
                <w:rFonts w:ascii="Times New Roman;serif" w:hAnsi="Times New Roman;serif"/>
                <w:b/>
                <w:color w:val="000000"/>
                <w:sz w:val="20"/>
              </w:rPr>
              <w:t>Rachel E. Haurwitz, Ph.D.</w:t>
            </w:r>
          </w:p>
        </w:tc>
      </w:tr>
      <w:tr>
        <w:trPr/>
        <w:tc>
          <w:tcPr>
            <w:tcW w:w="16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29" w:type="dxa"/>
            <w:gridSpan w:val="3"/>
            <w:tcBorders/>
            <w:tcMar>
              <w:top w:w="0" w:type="dxa"/>
              <w:left w:w="0" w:type="dxa"/>
              <w:bottom w:w="0" w:type="dxa"/>
              <w:right w:w="0" w:type="dxa"/>
            </w:tcMar>
            <w:vAlign w:val="center"/>
          </w:tcPr>
          <w:p>
            <w:pPr>
              <w:pStyle w:val="TableContents"/>
              <w:bidi w:val="0"/>
              <w:spacing w:lineRule="auto" w:line="252" w:before="0" w:after="0"/>
              <w:jc w:val="center"/>
              <w:rPr>
                <w:rFonts w:ascii="Times New Roman;serif" w:hAnsi="Times New Roman;serif"/>
                <w:b/>
                <w:color w:val="000000"/>
                <w:sz w:val="20"/>
              </w:rPr>
            </w:pPr>
            <w:r>
              <w:rPr>
                <w:rFonts w:ascii="Times New Roman;serif" w:hAnsi="Times New Roman;serif"/>
                <w:b/>
                <w:color w:val="000000"/>
                <w:sz w:val="20"/>
              </w:rPr>
              <w:t>President and Chief Executive Officer</w:t>
            </w:r>
          </w:p>
          <w:p>
            <w:pPr>
              <w:pStyle w:val="TableContents"/>
              <w:bidi w:val="0"/>
              <w:spacing w:lineRule="auto" w:line="252" w:before="0" w:after="0"/>
              <w:jc w:val="center"/>
              <w:rPr>
                <w:rFonts w:ascii="Times New Roman;serif" w:hAnsi="Times New Roman;serif"/>
                <w:b w:val="false"/>
                <w:color w:val="000000"/>
                <w:sz w:val="20"/>
              </w:rPr>
            </w:pPr>
            <w:r>
              <w:rPr>
                <w:rFonts w:ascii="Times New Roman;serif" w:hAnsi="Times New Roman;serif"/>
                <w:b w:val="false"/>
                <w:color w:val="000000"/>
                <w:sz w:val="20"/>
              </w:rPr>
              <w:t>(Principal Executive Officer)</w:t>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35">
                <wp:simplePos x="0" y="0"/>
                <wp:positionH relativeFrom="character">
                  <wp:align>left</wp:align>
                </wp:positionH>
                <wp:positionV relativeFrom="line">
                  <wp:posOffset>635</wp:posOffset>
                </wp:positionV>
                <wp:extent cx="6480175" cy="175260"/>
                <wp:effectExtent l="0" t="0" r="0" b="0"/>
                <wp:wrapNone/>
                <wp:docPr id="34" name="Frame3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120" w:after="283"/>
        <w:jc w:val="right"/>
        <w:rPr>
          <w:rFonts w:ascii="Times New Roman;serif" w:hAnsi="Times New Roman;serif"/>
          <w:b/>
          <w:color w:val="000000"/>
          <w:sz w:val="20"/>
        </w:rPr>
      </w:pPr>
      <w:r>
        <w:rPr>
          <w:rFonts w:ascii="Times New Roman;serif" w:hAnsi="Times New Roman;serif"/>
          <w:b/>
          <w:color w:val="000000"/>
          <w:sz w:val="20"/>
        </w:rPr>
        <w:t>Exhibit 32.2</w:t>
      </w:r>
    </w:p>
    <w:p>
      <w:pPr>
        <w:pStyle w:val="TextBody"/>
        <w:bidi w:val="0"/>
        <w:spacing w:lineRule="auto" w:line="288" w:before="360" w:after="283"/>
        <w:jc w:val="center"/>
        <w:rPr>
          <w:rFonts w:ascii="Times New Roman;serif" w:hAnsi="Times New Roman;serif"/>
          <w:b/>
          <w:color w:val="000000"/>
          <w:sz w:val="20"/>
        </w:rPr>
      </w:pPr>
      <w:r>
        <w:rPr>
          <w:rFonts w:ascii="Times New Roman;serif" w:hAnsi="Times New Roman;serif"/>
          <w:b/>
          <w:color w:val="000000"/>
          <w:sz w:val="20"/>
        </w:rPr>
        <w:t>CERTIFICATION PURSUANT TO</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18 U.S.C. SECTION 1350, AS ADOPTED PURSUANT TO</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SECTION 906 OF THE SARBANES-OXLEY ACT OF 2002</w:t>
      </w:r>
    </w:p>
    <w:p>
      <w:pPr>
        <w:pStyle w:val="TextBody"/>
        <w:bidi w:val="0"/>
        <w:spacing w:lineRule="auto" w:line="288" w:before="24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In connection with the Quarterly Report of Caribou Biosciences, Inc. (the “Company”) on Form 10-Q for the period ended March 31, 2026 as filed with the Securities and Exchange Commission on the date hereof (the “Report”), I certify, pursuant to 18 U.S.C. § 1350, as adopted pursuant to § 906 of the Sarbanes-Oxley Act of 2002, that, to the best of my knowledge:</w:t>
      </w:r>
    </w:p>
    <w:p>
      <w:pPr>
        <w:pStyle w:val="TextBody"/>
        <w:bidi w:val="0"/>
        <w:spacing w:lineRule="auto" w:line="288" w:before="120" w:after="283"/>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(1)The Report fully complies with the requirements of section 13(a) or 15(d) of the Securities Exchange Act of 1934; and</w:t>
      </w:r>
    </w:p>
    <w:p>
      <w:pPr>
        <w:pStyle w:val="TextBody"/>
        <w:bidi w:val="0"/>
        <w:spacing w:lineRule="auto" w:line="288" w:before="120" w:after="283"/>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 xml:space="preserve">(2)The information contained in the Report fairly presents, in all material respects, the financial condition and result of operations of the Company. </w:t>
      </w:r>
    </w:p>
    <w:tbl>
      <w:tblPr>
        <w:tblW w:w="7182" w:type="dxa"/>
        <w:jc w:val="left"/>
        <w:tblInd w:w="0" w:type="dxa"/>
        <w:tblLayout w:type="fixed"/>
        <w:tblCellMar>
          <w:top w:w="28" w:type="dxa"/>
          <w:left w:w="28" w:type="dxa"/>
          <w:bottom w:w="28" w:type="dxa"/>
          <w:right w:w="28" w:type="dxa"/>
        </w:tblCellMar>
      </w:tblPr>
      <w:tblGrid>
        <w:gridCol w:w="591"/>
        <w:gridCol w:w="520"/>
        <w:gridCol w:w="523"/>
        <w:gridCol w:w="134"/>
        <w:gridCol w:w="134"/>
        <w:gridCol w:w="136"/>
        <w:gridCol w:w="1506"/>
        <w:gridCol w:w="1506"/>
        <w:gridCol w:w="2132"/>
      </w:tblGrid>
      <w:tr>
        <w:trPr/>
        <w:tc>
          <w:tcPr>
            <w:tcW w:w="591" w:type="dxa"/>
            <w:tcBorders/>
            <w:vAlign w:val="center"/>
          </w:tcPr>
          <w:p>
            <w:pPr>
              <w:pStyle w:val="TableContents"/>
              <w:bidi w:val="0"/>
              <w:spacing w:before="0" w:after="283"/>
              <w:jc w:val="left"/>
              <w:rPr>
                <w:sz w:val="4"/>
                <w:szCs w:val="4"/>
              </w:rPr>
            </w:pPr>
            <w:r>
              <w:rPr>
                <w:sz w:val="4"/>
                <w:szCs w:val="4"/>
              </w:rPr>
            </w:r>
          </w:p>
        </w:tc>
        <w:tc>
          <w:tcPr>
            <w:tcW w:w="520" w:type="dxa"/>
            <w:tcBorders/>
            <w:vAlign w:val="center"/>
          </w:tcPr>
          <w:p>
            <w:pPr>
              <w:pStyle w:val="TableContents"/>
              <w:bidi w:val="0"/>
              <w:spacing w:before="0" w:after="283"/>
              <w:jc w:val="left"/>
              <w:rPr>
                <w:sz w:val="4"/>
                <w:szCs w:val="4"/>
              </w:rPr>
            </w:pPr>
            <w:r>
              <w:rPr>
                <w:sz w:val="4"/>
                <w:szCs w:val="4"/>
              </w:rPr>
            </w:r>
          </w:p>
        </w:tc>
        <w:tc>
          <w:tcPr>
            <w:tcW w:w="523"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506" w:type="dxa"/>
            <w:tcBorders/>
            <w:vAlign w:val="center"/>
          </w:tcPr>
          <w:p>
            <w:pPr>
              <w:pStyle w:val="TableContents"/>
              <w:bidi w:val="0"/>
              <w:spacing w:before="0" w:after="283"/>
              <w:jc w:val="left"/>
              <w:rPr>
                <w:sz w:val="4"/>
                <w:szCs w:val="4"/>
              </w:rPr>
            </w:pPr>
            <w:r>
              <w:rPr>
                <w:sz w:val="4"/>
                <w:szCs w:val="4"/>
              </w:rPr>
            </w:r>
          </w:p>
        </w:tc>
        <w:tc>
          <w:tcPr>
            <w:tcW w:w="1506" w:type="dxa"/>
            <w:tcBorders/>
            <w:vAlign w:val="center"/>
          </w:tcPr>
          <w:p>
            <w:pPr>
              <w:pStyle w:val="TableContents"/>
              <w:bidi w:val="0"/>
              <w:spacing w:before="0" w:after="283"/>
              <w:jc w:val="left"/>
              <w:rPr>
                <w:sz w:val="4"/>
                <w:szCs w:val="4"/>
              </w:rPr>
            </w:pPr>
            <w:r>
              <w:rPr>
                <w:sz w:val="4"/>
                <w:szCs w:val="4"/>
              </w:rPr>
            </w:r>
          </w:p>
        </w:tc>
        <w:tc>
          <w:tcPr>
            <w:tcW w:w="2132" w:type="dxa"/>
            <w:tcBorders/>
            <w:vAlign w:val="center"/>
          </w:tcPr>
          <w:p>
            <w:pPr>
              <w:pStyle w:val="TableContents"/>
              <w:bidi w:val="0"/>
              <w:spacing w:before="0" w:after="283"/>
              <w:jc w:val="left"/>
              <w:rPr>
                <w:sz w:val="4"/>
                <w:szCs w:val="4"/>
              </w:rPr>
            </w:pPr>
            <w:r>
              <w:rPr>
                <w:sz w:val="4"/>
                <w:szCs w:val="4"/>
              </w:rPr>
            </w:r>
          </w:p>
        </w:tc>
      </w:tr>
      <w:tr>
        <w:trPr/>
        <w:tc>
          <w:tcPr>
            <w:tcW w:w="1634" w:type="dxa"/>
            <w:gridSpan w:val="3"/>
            <w:tcBorders/>
            <w:tcMar>
              <w:top w:w="0" w:type="dxa"/>
              <w:left w:w="0" w:type="dxa"/>
              <w:bottom w:w="0" w:type="dxa"/>
              <w:right w:w="0" w:type="dxa"/>
            </w:tcMar>
            <w:vAlign w:val="center"/>
          </w:tcPr>
          <w:p>
            <w:pPr>
              <w:pStyle w:val="TableContents"/>
              <w:bidi w:val="0"/>
              <w:spacing w:lineRule="auto" w:line="252" w:before="0" w:after="0"/>
              <w:jc w:val="left"/>
              <w:rPr>
                <w:rFonts w:ascii="Times New Roman;serif" w:hAnsi="Times New Roman;serif"/>
                <w:b w:val="false"/>
                <w:color w:val="000000"/>
                <w:sz w:val="20"/>
              </w:rPr>
            </w:pPr>
            <w:r>
              <w:rPr>
                <w:rFonts w:ascii="Times New Roman;serif" w:hAnsi="Times New Roman;serif"/>
                <w:b w:val="false"/>
                <w:color w:val="000000"/>
                <w:sz w:val="20"/>
              </w:rPr>
              <w:t>Date: May 7, 2026</w:t>
            </w:r>
          </w:p>
        </w:tc>
        <w:tc>
          <w:tcPr>
            <w:tcW w:w="404" w:type="dxa"/>
            <w:gridSpan w:val="3"/>
            <w:tcBorders/>
            <w:tcMar>
              <w:top w:w="0" w:type="dxa"/>
              <w:left w:w="0" w:type="dxa"/>
              <w:bottom w:w="0" w:type="dxa"/>
              <w:right w:w="0" w:type="dxa"/>
            </w:tcMar>
            <w:vAlign w:val="center"/>
          </w:tcPr>
          <w:p>
            <w:pPr>
              <w:pStyle w:val="TableContents"/>
              <w:bidi w:val="0"/>
              <w:spacing w:lineRule="auto" w:line="252" w:before="0" w:after="283"/>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5144" w:type="dxa"/>
            <w:gridSpan w:val="3"/>
            <w:tcBorders/>
            <w:tcMar>
              <w:top w:w="0" w:type="dxa"/>
              <w:left w:w="0" w:type="dxa"/>
              <w:bottom w:w="0" w:type="dxa"/>
              <w:right w:w="0" w:type="dxa"/>
            </w:tcMar>
            <w:vAlign w:val="center"/>
          </w:tcPr>
          <w:p>
            <w:pPr>
              <w:pStyle w:val="TableContents"/>
              <w:bidi w:val="0"/>
              <w:spacing w:lineRule="auto" w:line="252" w:before="0" w:after="0"/>
              <w:jc w:val="left"/>
              <w:rPr>
                <w:rFonts w:ascii="Times New Roman;serif" w:hAnsi="Times New Roman;serif"/>
                <w:b w:val="false"/>
                <w:color w:val="000000"/>
                <w:sz w:val="20"/>
              </w:rPr>
            </w:pPr>
            <w:r>
              <w:rPr>
                <w:rFonts w:ascii="Times New Roman;serif" w:hAnsi="Times New Roman;serif"/>
                <w:b w:val="false"/>
                <w:color w:val="000000"/>
                <w:sz w:val="20"/>
              </w:rPr>
              <w:t>/s/ Sriram Ryali</w:t>
            </w:r>
          </w:p>
        </w:tc>
      </w:tr>
      <w:tr>
        <w:trPr/>
        <w:tc>
          <w:tcPr>
            <w:tcW w:w="16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4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52" w:before="0" w:after="0"/>
              <w:jc w:val="center"/>
              <w:rPr>
                <w:rFonts w:ascii="Times New Roman;serif" w:hAnsi="Times New Roman;serif"/>
                <w:b/>
                <w:color w:val="000000"/>
                <w:sz w:val="20"/>
              </w:rPr>
            </w:pPr>
            <w:r>
              <w:rPr>
                <w:rFonts w:ascii="Times New Roman;serif" w:hAnsi="Times New Roman;serif"/>
                <w:b/>
                <w:color w:val="000000"/>
                <w:sz w:val="20"/>
              </w:rPr>
              <w:t>Sriram Ryali, M.B.A.</w:t>
            </w:r>
          </w:p>
        </w:tc>
      </w:tr>
      <w:tr>
        <w:trPr/>
        <w:tc>
          <w:tcPr>
            <w:tcW w:w="16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44" w:type="dxa"/>
            <w:gridSpan w:val="3"/>
            <w:tcBorders/>
            <w:tcMar>
              <w:top w:w="0" w:type="dxa"/>
              <w:left w:w="0" w:type="dxa"/>
              <w:bottom w:w="0" w:type="dxa"/>
              <w:right w:w="0" w:type="dxa"/>
            </w:tcMar>
            <w:vAlign w:val="center"/>
          </w:tcPr>
          <w:p>
            <w:pPr>
              <w:pStyle w:val="TableContents"/>
              <w:bidi w:val="0"/>
              <w:spacing w:lineRule="auto" w:line="252" w:before="0" w:after="0"/>
              <w:jc w:val="center"/>
              <w:rPr>
                <w:rFonts w:ascii="Times New Roman;serif" w:hAnsi="Times New Roman;serif"/>
                <w:b/>
                <w:color w:val="000000"/>
                <w:sz w:val="20"/>
              </w:rPr>
            </w:pPr>
            <w:r>
              <w:rPr>
                <w:rFonts w:ascii="Times New Roman;serif" w:hAnsi="Times New Roman;serif"/>
                <w:b/>
                <w:color w:val="000000"/>
                <w:sz w:val="20"/>
              </w:rPr>
              <w:t>Chief Financial Officer</w:t>
            </w:r>
          </w:p>
          <w:p>
            <w:pPr>
              <w:pStyle w:val="TableContents"/>
              <w:bidi w:val="0"/>
              <w:spacing w:lineRule="auto" w:line="252" w:before="0" w:after="0"/>
              <w:jc w:val="center"/>
              <w:rPr>
                <w:rFonts w:ascii="Times New Roman;serif" w:hAnsi="Times New Roman;serif"/>
                <w:b w:val="false"/>
                <w:color w:val="000000"/>
                <w:sz w:val="20"/>
              </w:rPr>
            </w:pPr>
            <w:r>
              <w:rPr>
                <w:rFonts w:ascii="Times New Roman;serif" w:hAnsi="Times New Roman;serif"/>
                <w:b w:val="false"/>
                <w:color w:val="000000"/>
                <w:sz w:val="20"/>
              </w:rPr>
              <w:t>(Principal Financial Officer and Principal Accounting Officer)</w:t>
            </w:r>
          </w:p>
        </w:tc>
      </w:tr>
    </w:tbl>
    <w:p>
      <w:pPr>
        <w:pStyle w:val="TextBody"/>
        <w:bidi w:val="0"/>
        <w:spacing w:before="0" w:after="283"/>
        <w:jc w:val="left"/>
        <w:rPr/>
      </w:pPr>
      <w:r>
        <w:rPr/>
      </w:r>
      <w:r>
        <mc:AlternateContent>
          <mc:Choice Requires="wps">
            <w:drawing>
              <wp:anchor behindDoc="0" distT="0" distB="0" distL="0" distR="0" simplePos="0" locked="0" layoutInCell="1" allowOverlap="1" relativeHeight="36">
                <wp:simplePos x="0" y="0"/>
                <wp:positionH relativeFrom="character">
                  <wp:align>left</wp:align>
                </wp:positionH>
                <wp:positionV relativeFrom="line">
                  <wp:posOffset>635</wp:posOffset>
                </wp:positionV>
                <wp:extent cx="6480175" cy="175260"/>
                <wp:effectExtent l="0" t="0" r="0" b="0"/>
                <wp:wrapNone/>
                <wp:docPr id="35" name="Frame3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 w:name="Wingdings">
    <w:altName w:val="sans-serif"/>
    <w:charset w:val="02"/>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s://www.sec.gov/Archives/edgar/data/1619856/000119312521227378/d189230dex31.htm" TargetMode="External"/><Relationship Id="rId3" Type="http://schemas.openxmlformats.org/officeDocument/2006/relationships/hyperlink" Target="https://www.sec.gov/Archives/edgar/data/1619856/000119312521227378/d189230dex32.htm" TargetMode="External"/><Relationship Id="rId4" Type="http://schemas.openxmlformats.org/officeDocument/2006/relationships/hyperlink" Target="https://www.sec.gov/Archives/edgar/data/1619856/000095017022004233/crbu-ex4_1.htm" TargetMode="Externa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7</Pages>
  <Words>14402</Words>
  <Characters>82534</Characters>
  <CharactersWithSpaces>95900</CharactersWithSpaces>
  <Paragraphs>1646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