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D.C. 20549</w:t>
      </w:r>
    </w:p>
    <w:p>
      <w:pPr>
        <w:spacing w:after="0" w:line="1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33020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5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60325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Caribou Biosciences,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27" w:lineRule="exact"/>
        <w:rPr>
          <w:sz w:val="24"/>
          <w:szCs w:val="24"/>
          <w:color w:val="auto"/>
        </w:rPr>
      </w:pPr>
    </w:p>
    <w:tbl>
      <w:tblPr>
        <w:tblLayout w:type="fixed"/>
        <w:tblInd w:w="1305" w:type="dxa"/>
        <w:tblCellMar>
          <w:top w:w="0" w:type="dxa"/>
          <w:left w:w="0" w:type="dxa"/>
          <w:bottom w:w="0" w:type="dxa"/>
          <w:right w:w="0" w:type="dxa"/>
        </w:tblCellMar>
      </w:tblPr>
      <w:tr>
        <w:trPr>
          <w:trHeight w:val="164"/>
        </w:trPr>
        <w:tc>
          <w:tcPr>
            <w:tcW w:w="3200" w:type="dxa"/>
            <w:vAlign w:val="bottom"/>
          </w:tcPr>
          <w:p>
            <w:pPr>
              <w:jc w:val="center"/>
              <w:ind w:right="1131"/>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2240" w:type="dxa"/>
            <w:vAlign w:val="bottom"/>
            <w:tcBorders>
              <w:top w:val="single" w:sz="8" w:color="auto"/>
            </w:tcBorders>
          </w:tcPr>
          <w:p>
            <w:pPr>
              <w:jc w:val="right"/>
              <w:ind w:right="691"/>
              <w:spacing w:after="0" w:line="165" w:lineRule="exact"/>
              <w:rPr>
                <w:sz w:val="20"/>
                <w:szCs w:val="20"/>
                <w:color w:val="auto"/>
              </w:rPr>
            </w:pPr>
            <w:r>
              <w:rPr>
                <w:rFonts w:ascii="Times New Roman" w:cs="Times New Roman" w:eastAsia="Times New Roman" w:hAnsi="Times New Roman"/>
                <w:sz w:val="16"/>
                <w:szCs w:val="16"/>
                <w:b w:val="1"/>
                <w:bCs w:val="1"/>
                <w:color w:val="auto"/>
              </w:rPr>
              <w:t>001-40631</w:t>
            </w:r>
          </w:p>
        </w:tc>
        <w:tc>
          <w:tcPr>
            <w:tcW w:w="2680" w:type="dxa"/>
            <w:vAlign w:val="bottom"/>
          </w:tcPr>
          <w:p>
            <w:pPr>
              <w:jc w:val="right"/>
              <w:ind w:right="33"/>
              <w:spacing w:after="0" w:line="165" w:lineRule="exact"/>
              <w:rPr>
                <w:sz w:val="20"/>
                <w:szCs w:val="20"/>
                <w:color w:val="auto"/>
              </w:rPr>
            </w:pPr>
            <w:r>
              <w:rPr>
                <w:rFonts w:ascii="Times New Roman" w:cs="Times New Roman" w:eastAsia="Times New Roman" w:hAnsi="Times New Roman"/>
                <w:sz w:val="16"/>
                <w:szCs w:val="16"/>
                <w:b w:val="1"/>
                <w:bCs w:val="1"/>
                <w:color w:val="auto"/>
              </w:rPr>
              <w:t>45-3728228</w:t>
            </w:r>
          </w:p>
        </w:tc>
      </w:tr>
      <w:tr>
        <w:trPr>
          <w:trHeight w:val="130"/>
        </w:trPr>
        <w:tc>
          <w:tcPr>
            <w:tcW w:w="3200" w:type="dxa"/>
            <w:vAlign w:val="bottom"/>
          </w:tcPr>
          <w:p>
            <w:pPr>
              <w:jc w:val="center"/>
              <w:ind w:right="11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2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680" w:type="dxa"/>
            <w:vAlign w:val="bottom"/>
          </w:tcPr>
          <w:p>
            <w:pPr>
              <w:jc w:val="center"/>
              <w:ind w:left="167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200" w:type="dxa"/>
            <w:vAlign w:val="bottom"/>
          </w:tcPr>
          <w:p>
            <w:pPr>
              <w:jc w:val="center"/>
              <w:ind w:right="11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4"/>
        </w:trPr>
        <w:tc>
          <w:tcPr>
            <w:tcW w:w="3200" w:type="dxa"/>
            <w:vAlign w:val="bottom"/>
          </w:tcPr>
          <w:p>
            <w:pPr>
              <w:jc w:val="center"/>
              <w:ind w:right="1111"/>
              <w:spacing w:after="0"/>
              <w:rPr>
                <w:sz w:val="20"/>
                <w:szCs w:val="20"/>
                <w:color w:val="auto"/>
              </w:rPr>
            </w:pPr>
            <w:r>
              <w:rPr>
                <w:rFonts w:ascii="Times New Roman" w:cs="Times New Roman" w:eastAsia="Times New Roman" w:hAnsi="Times New Roman"/>
                <w:sz w:val="16"/>
                <w:szCs w:val="16"/>
                <w:b w:val="1"/>
                <w:bCs w:val="1"/>
                <w:color w:val="auto"/>
                <w:w w:val="97"/>
              </w:rPr>
              <w:t>2929 7th Street, Suite 105</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3"/>
        </w:trPr>
        <w:tc>
          <w:tcPr>
            <w:tcW w:w="3200" w:type="dxa"/>
            <w:vAlign w:val="bottom"/>
          </w:tcPr>
          <w:p>
            <w:pPr>
              <w:jc w:val="center"/>
              <w:ind w:right="1131"/>
              <w:spacing w:after="0"/>
              <w:rPr>
                <w:sz w:val="20"/>
                <w:szCs w:val="20"/>
                <w:color w:val="auto"/>
              </w:rPr>
            </w:pPr>
            <w:r>
              <w:rPr>
                <w:rFonts w:ascii="Times New Roman" w:cs="Times New Roman" w:eastAsia="Times New Roman" w:hAnsi="Times New Roman"/>
                <w:sz w:val="16"/>
                <w:szCs w:val="16"/>
                <w:b w:val="1"/>
                <w:bCs w:val="1"/>
                <w:color w:val="auto"/>
                <w:w w:val="98"/>
              </w:rPr>
              <w:t>Berkeley, California</w:t>
            </w:r>
          </w:p>
        </w:tc>
        <w:tc>
          <w:tcPr>
            <w:tcW w:w="2240" w:type="dxa"/>
            <w:vAlign w:val="bottom"/>
          </w:tcPr>
          <w:p>
            <w:pPr>
              <w:spacing w:after="0"/>
              <w:rPr>
                <w:sz w:val="15"/>
                <w:szCs w:val="15"/>
                <w:color w:val="auto"/>
              </w:rPr>
            </w:pPr>
          </w:p>
        </w:tc>
        <w:tc>
          <w:tcPr>
            <w:tcW w:w="2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94710</w:t>
            </w:r>
          </w:p>
        </w:tc>
      </w:tr>
      <w:tr>
        <w:trPr>
          <w:trHeight w:val="155"/>
        </w:trPr>
        <w:tc>
          <w:tcPr>
            <w:tcW w:w="3200" w:type="dxa"/>
            <w:vAlign w:val="bottom"/>
          </w:tcPr>
          <w:p>
            <w:pPr>
              <w:jc w:val="center"/>
              <w:ind w:right="11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17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(510) 982-6030</w:t>
      </w:r>
    </w:p>
    <w:p>
      <w:pPr>
        <w:spacing w:after="0" w:line="33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100965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5" w:lineRule="exact"/>
        <w:rPr>
          <w:sz w:val="24"/>
          <w:szCs w:val="24"/>
          <w:color w:val="auto"/>
        </w:rPr>
      </w:pPr>
    </w:p>
    <w:tbl>
      <w:tblPr>
        <w:tblLayout w:type="fixed"/>
        <w:tblInd w:w="5" w:type="dxa"/>
        <w:tblCellMar>
          <w:top w:w="0" w:type="dxa"/>
          <w:left w:w="0" w:type="dxa"/>
          <w:bottom w:w="0" w:type="dxa"/>
          <w:right w:w="0" w:type="dxa"/>
        </w:tblCellMar>
      </w:tblPr>
      <w:tr>
        <w:trPr>
          <w:trHeight w:val="184"/>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CRBU</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5" w:right="2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6"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5" w:right="32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172720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9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5"/>
          <w:szCs w:val="15"/>
          <w:color w:val="auto"/>
        </w:rPr>
        <w:t>On May 12, 2022, Caribou Biosciences, Inc. (the “Company”) issued a press release announcing positive initial clinical data from the ongoing ANTLER Phase 1 clinical trial for its allogeneic anti-CD19 CAR-T cell therapy product candidate, CB-010. A copy of the press release is attached hereto as Exhibit 99.1 and incorporated by reference herein.</w:t>
      </w:r>
    </w:p>
    <w:p>
      <w:pPr>
        <w:spacing w:after="0" w:line="98"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Also on May 12, 2022, the Company will host a conference call to discuss the foregoing preliminary data. A copy of the slide presentation to be used during the Company’s conference call is attached hereto as Exhibit 99.2 and incorporated by reference herein. Details for accessing the conference call are included in Exhibit 99.1.</w:t>
      </w:r>
    </w:p>
    <w:p>
      <w:pPr>
        <w:spacing w:after="0" w:line="12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Exhibit 99.1 and Exhibit 99.2)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regardless of any general incorporation language in any such filing or document, unless the Company specifically states that the information is to be considered “filed” under the Exchange Act or incorporates it by reference into a filing under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85"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6"/>
          <w:szCs w:val="16"/>
          <w:color w:val="auto"/>
        </w:rPr>
        <w:t>The Company previously announced that the European Hematology Association (“EHA”) accepted an abstract with initial clinical data from the ongoing ANTLER phase 1 clinical trial of its CB-010 product candidate in patients with r/r B-NHL. On May 12, 2022, EHA published the Company’s abstract.</w:t>
      </w:r>
    </w:p>
    <w:p>
      <w:pPr>
        <w:spacing w:after="0" w:line="14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6"/>
          <w:szCs w:val="16"/>
          <w:color w:val="auto"/>
        </w:rPr>
        <w:t>The initial data disclosed in the abstract demonstrate that CB-010 had antitumor activity and was generally well-tolerated. As of the February 23, 2022 data cutoff date, six patients had been infused with CB-010 in cohort one at dose level one, and five had completed the 28-day dose-limiting toxicity (“DLT”) evaluation period. Among these six patients, there were no cases of graft-versus-host disease. Within the first 28 days, three of six patients developed neutropenia, two of six patients developed thrombocytopenia, one of six patients developed anemia, and one of six patients developed hypogammaglobulinemia. A single patient experienced Grade 1 cytokine release syndrome and Grade 3 immune effector cell-associated neurotoxicity syndrome, which was characterized as a DLT and which resolved with supportive care within 39 hours.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The data demonstrate that, as of the data cutoff date, all five out of five patients evaluable for efficacy responded to CB-010 for an overall response rate of 100% at 28 days following the administration of a single dose of CB-010 (i.e., 40 million CAR-T cells), the starting dose for this phase 1 trial. Four out of five (80%) responding patients achieved a complete response (“CR”). All four patients who achieved a CR at 28 days had an ongoing CR at three months. The longest measured CR was at six months. As of the data cutoff date, one of the CR patients relapsed at their six-month evaluation and the sixth patient was in the 28-day DLT evaluation period. Of the six patients dosed with CB-010 in cohort one, two had diffuse large B cell lymphoma, two had aggressively behaving follicular lymphoma, one had mantle cell lymphoma, and one had primary mediastinal large B cell lymphoma. Based on this initial safety and efficacy profile, the Company’s ANTLER phase 1 clinical trial is currently enrolling r/r B-NHL patients in cohort two at dose level two (i.e., 80 million CAR-T cells). At the EHA 2022 Hybrid Congress, to be held in Vienna, Austria, June 9-17, 2022, the Company is scheduled to present the data in the above-referenced abstract as well as additional data on a longer follow-up on the patients in cohort one that extends beyond the February 23, 2022 data cutoff date.</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From time to time, the Company plans to release additional clinical data from its ANTLER phase 1 clinical trial, including at the EHA 2022 Hybrid Congress and by year-end, as it continues its ANTLER phase 1 clinical trial. Investors should consider that additional clinical data may be released from time to time, and the Company makes no representation regarding such clinical data or the timing of its release, or whether any such additional clinical data will support or contradict the findings in the initial clinical data reported in the abstract. Initial or interim clinical trial data is subject to the risk that it will not ultimately be predictive of the safety and efficacy of the Company’s product candidates and that clinical outcomes may differ as more and longer-term clinical data become available. For example, the preliminary clinical data for CB-010 reported on May 12, 2022 is based on a limited number of patients (six patients in total), has a cutoff date of February 23, 2022, and is subject to risks, including that one or more of the clinical outcomes may materially and adversely change as patients continue on study, dose levels change, patient enrollment continues, and further and longer-term data (including, with respect to efficacy, duration of response, and safety) become available. For example, one of the patients who achieved a CR in cohort one had progressive disease at their six-month evaluation prior to the February 23, 2022 data cutoff date, and further data (including longer-term clinical data) may show additional instances of relapses and other adverse results. As a result, topline data should be viewed with caution until final clinical data are available from the ANTLER trial.</w:t>
      </w:r>
    </w:p>
    <w:p>
      <w:pPr>
        <w:spacing w:after="0" w:line="166"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6"/>
          <w:szCs w:val="16"/>
          <w:color w:val="auto"/>
        </w:rPr>
        <w:t>The information the Company discloses publicly regarding a clinical trial is typically a summary of extensive information. For more information regarding the risks relating to initial or interim data from the Company’s current and future clinical trials, please see the risk factors in the Company’s Annual Report on Form 10-K for the fiscal year ended December 31, 2021 and in other filings the Company makes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43815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 Exhibits</w:t>
            </w:r>
          </w:p>
        </w:tc>
        <w:tc>
          <w:tcPr>
            <w:tcW w:w="2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May 12, 2022</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auto"/>
              </w:rPr>
              <w:t>99.2</w:t>
            </w:r>
          </w:p>
        </w:tc>
        <w:tc>
          <w:tcPr>
            <w:tcW w:w="21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380" w:type="dxa"/>
            <w:vAlign w:val="bottom"/>
            <w:gridSpan w:val="2"/>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Presentation dated May 12, 2022</w:t>
            </w:r>
          </w:p>
        </w:tc>
        <w:tc>
          <w:tcPr>
            <w:tcW w:w="0" w:type="dxa"/>
            <w:vAlign w:val="bottom"/>
          </w:tcPr>
          <w:p>
            <w:pPr>
              <w:spacing w:after="0" w:line="20" w:lineRule="exact"/>
              <w:rPr>
                <w:sz w:val="1"/>
                <w:szCs w:val="1"/>
                <w:color w:val="auto"/>
              </w:rPr>
            </w:pPr>
          </w:p>
        </w:tc>
      </w:tr>
      <w:tr>
        <w:trPr>
          <w:trHeight w:val="157"/>
        </w:trPr>
        <w:tc>
          <w:tcPr>
            <w:tcW w:w="1700" w:type="dxa"/>
            <w:vAlign w:val="bottom"/>
            <w:vMerge w:val="continue"/>
          </w:tcPr>
          <w:p>
            <w:pPr>
              <w:spacing w:after="0"/>
              <w:rPr>
                <w:sz w:val="13"/>
                <w:szCs w:val="13"/>
                <w:color w:val="auto"/>
              </w:rPr>
            </w:pPr>
          </w:p>
        </w:tc>
        <w:tc>
          <w:tcPr>
            <w:tcW w:w="21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0000FF"/>
                <w:w w:val="99"/>
              </w:rPr>
              <w:t>CB-010 Clinical Program Update</w:t>
            </w:r>
          </w:p>
        </w:tc>
        <w:tc>
          <w:tcPr>
            <w:tcW w:w="7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104</w:t>
            </w:r>
          </w:p>
        </w:tc>
        <w:tc>
          <w:tcPr>
            <w:tcW w:w="4240" w:type="dxa"/>
            <w:vAlign w:val="bottom"/>
            <w:tcBorders>
              <w:left w:val="single" w:sz="8" w:color="0000EE"/>
            </w:tcBorders>
            <w:gridSpan w:val="2"/>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459"/>
        </w:trPr>
        <w:tc>
          <w:tcPr>
            <w:tcW w:w="1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CARIBOU BIOSCIENCES, INC.</w:t>
      </w:r>
    </w:p>
    <w:p>
      <w:pPr>
        <w:spacing w:after="0" w:line="303"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12,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jc w:val="center"/>
        <w:ind w:left="6040"/>
        <w:spacing w:after="0"/>
        <w:rPr>
          <w:sz w:val="20"/>
          <w:szCs w:val="20"/>
          <w:color w:val="auto"/>
        </w:rPr>
      </w:pPr>
      <w:r>
        <w:rPr>
          <w:rFonts w:ascii="Times New Roman" w:cs="Times New Roman" w:eastAsia="Times New Roman" w:hAnsi="Times New Roman"/>
          <w:sz w:val="16"/>
          <w:szCs w:val="16"/>
          <w:b w:val="1"/>
          <w:bCs w:val="1"/>
          <w:color w:val="auto"/>
        </w:rPr>
        <w:t>Rachel E. Haurwitz</w:t>
      </w: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9"/>
          <w:szCs w:val="19"/>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2110105" cy="638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10105" cy="638175"/>
                    </a:xfrm>
                    <a:prstGeom prst="rect">
                      <a:avLst/>
                    </a:prstGeom>
                    <a:noFill/>
                  </pic:spPr>
                </pic:pic>
              </a:graphicData>
            </a:graphic>
          </wp:anchor>
        </w:drawing>
        <w:t>Exhibit 99.1</w:t>
      </w:r>
    </w:p>
    <w:p>
      <w:pPr>
        <w:spacing w:after="0" w:line="206"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Caribou Biosciences Announces Positve Inital Data for CB-010 Ant-CD19</w:t>
      </w:r>
    </w:p>
    <w:p>
      <w:pPr>
        <w:jc w:val="center"/>
        <w:ind w:right="100"/>
        <w:spacing w:after="0" w:line="220" w:lineRule="auto"/>
        <w:rPr>
          <w:sz w:val="20"/>
          <w:szCs w:val="20"/>
          <w:color w:val="auto"/>
        </w:rPr>
      </w:pPr>
      <w:r>
        <w:rPr>
          <w:rFonts w:ascii="Calibri" w:cs="Calibri" w:eastAsia="Calibri" w:hAnsi="Calibri"/>
          <w:sz w:val="19"/>
          <w:szCs w:val="19"/>
          <w:b w:val="1"/>
          <w:bCs w:val="1"/>
          <w:color w:val="auto"/>
        </w:rPr>
        <w:t>Allogeneic CAR-T Cell Therapy</w:t>
      </w:r>
    </w:p>
    <w:p>
      <w:pPr>
        <w:spacing w:after="0" w:line="206" w:lineRule="exact"/>
        <w:rPr>
          <w:sz w:val="20"/>
          <w:szCs w:val="20"/>
          <w:color w:val="auto"/>
        </w:rPr>
      </w:pPr>
    </w:p>
    <w:p>
      <w:pPr>
        <w:ind w:left="1000" w:hanging="161"/>
        <w:spacing w:after="0"/>
        <w:tabs>
          <w:tab w:leader="none" w:pos="1000" w:val="left"/>
        </w:tabs>
        <w:numPr>
          <w:ilvl w:val="0"/>
          <w:numId w:val="2"/>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100% ORR (5 of 5 patents) and 80% CR (4 of 5 patents) achieved following 1 dose at the inital dose level in patents with aggressive</w:t>
      </w:r>
    </w:p>
    <w:p>
      <w:pPr>
        <w:ind w:left="5560"/>
        <w:spacing w:after="0" w:line="232" w:lineRule="auto"/>
        <w:rPr>
          <w:rFonts w:ascii="Calibri" w:cs="Calibri" w:eastAsia="Calibri" w:hAnsi="Calibri"/>
          <w:sz w:val="19"/>
          <w:szCs w:val="19"/>
          <w:i w:val="1"/>
          <w:iCs w:val="1"/>
          <w:color w:val="auto"/>
        </w:rPr>
      </w:pPr>
      <w:r>
        <w:rPr>
          <w:rFonts w:ascii="Calibri" w:cs="Calibri" w:eastAsia="Calibri" w:hAnsi="Calibri"/>
          <w:sz w:val="19"/>
          <w:szCs w:val="19"/>
          <w:i w:val="1"/>
          <w:iCs w:val="1"/>
          <w:color w:val="auto"/>
        </w:rPr>
        <w:t>r/r B-NHL --</w:t>
      </w:r>
    </w:p>
    <w:p>
      <w:pPr>
        <w:spacing w:after="0" w:line="188" w:lineRule="exact"/>
        <w:rPr>
          <w:rFonts w:ascii="Calibri" w:cs="Calibri" w:eastAsia="Calibri" w:hAnsi="Calibri"/>
          <w:sz w:val="19"/>
          <w:szCs w:val="19"/>
          <w:i w:val="1"/>
          <w:iCs w:val="1"/>
          <w:color w:val="auto"/>
        </w:rPr>
      </w:pPr>
    </w:p>
    <w:p>
      <w:pPr>
        <w:ind w:left="2800" w:hanging="163"/>
        <w:spacing w:after="0"/>
        <w:tabs>
          <w:tab w:leader="none" w:pos="2800" w:val="left"/>
        </w:tabs>
        <w:numPr>
          <w:ilvl w:val="1"/>
          <w:numId w:val="2"/>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CB-010 is the 1</w:t>
      </w:r>
      <w:r>
        <w:rPr>
          <w:rFonts w:ascii="Calibri" w:cs="Calibri" w:eastAsia="Calibri" w:hAnsi="Calibri"/>
          <w:sz w:val="25"/>
          <w:szCs w:val="25"/>
          <w:i w:val="1"/>
          <w:iCs w:val="1"/>
          <w:color w:val="auto"/>
          <w:vertAlign w:val="superscript"/>
        </w:rPr>
        <w:t>st</w:t>
      </w:r>
      <w:r>
        <w:rPr>
          <w:rFonts w:ascii="Calibri" w:cs="Calibri" w:eastAsia="Calibri" w:hAnsi="Calibri"/>
          <w:sz w:val="19"/>
          <w:szCs w:val="19"/>
          <w:i w:val="1"/>
          <w:iCs w:val="1"/>
          <w:color w:val="auto"/>
        </w:rPr>
        <w:t xml:space="preserve"> allogeneic CAR-T cell therapy to achieve 100% ORR (5 of 5 patents) --</w:t>
      </w:r>
    </w:p>
    <w:p>
      <w:pPr>
        <w:spacing w:after="0" w:line="138" w:lineRule="exact"/>
        <w:rPr>
          <w:sz w:val="20"/>
          <w:szCs w:val="20"/>
          <w:color w:val="auto"/>
        </w:rPr>
      </w:pPr>
    </w:p>
    <w:p>
      <w:pPr>
        <w:ind w:left="2540" w:hanging="161"/>
        <w:spacing w:after="0"/>
        <w:tabs>
          <w:tab w:leader="none" w:pos="2540" w:val="left"/>
        </w:tabs>
        <w:numPr>
          <w:ilvl w:val="1"/>
          <w:numId w:val="3"/>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Based on promising inital safety profle, ANTLER Phase 1 trial enrolling patents at</w:t>
      </w:r>
    </w:p>
    <w:p>
      <w:pPr>
        <w:ind w:left="5100"/>
        <w:spacing w:after="0" w:line="232" w:lineRule="auto"/>
        <w:rPr>
          <w:rFonts w:ascii="Calibri" w:cs="Calibri" w:eastAsia="Calibri" w:hAnsi="Calibri"/>
          <w:sz w:val="19"/>
          <w:szCs w:val="19"/>
          <w:i w:val="1"/>
          <w:iCs w:val="1"/>
          <w:color w:val="auto"/>
        </w:rPr>
      </w:pPr>
      <w:r>
        <w:rPr>
          <w:rFonts w:ascii="Calibri" w:cs="Calibri" w:eastAsia="Calibri" w:hAnsi="Calibri"/>
          <w:sz w:val="19"/>
          <w:szCs w:val="19"/>
          <w:i w:val="1"/>
          <w:iCs w:val="1"/>
          <w:color w:val="auto"/>
        </w:rPr>
        <w:t>dose level 2 --</w:t>
      </w:r>
    </w:p>
    <w:p>
      <w:pPr>
        <w:spacing w:after="0" w:line="157" w:lineRule="exact"/>
        <w:rPr>
          <w:rFonts w:ascii="Calibri" w:cs="Calibri" w:eastAsia="Calibri" w:hAnsi="Calibri"/>
          <w:sz w:val="19"/>
          <w:szCs w:val="19"/>
          <w:i w:val="1"/>
          <w:iCs w:val="1"/>
          <w:color w:val="auto"/>
        </w:rPr>
      </w:pPr>
    </w:p>
    <w:p>
      <w:pPr>
        <w:ind w:left="200" w:hanging="165"/>
        <w:spacing w:after="0"/>
        <w:tabs>
          <w:tab w:leader="none" w:pos="200" w:val="left"/>
        </w:tabs>
        <w:numPr>
          <w:ilvl w:val="0"/>
          <w:numId w:val="3"/>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CB-010 is the 1</w:t>
      </w:r>
      <w:r>
        <w:rPr>
          <w:rFonts w:ascii="Calibri" w:cs="Calibri" w:eastAsia="Calibri" w:hAnsi="Calibri"/>
          <w:sz w:val="25"/>
          <w:szCs w:val="25"/>
          <w:i w:val="1"/>
          <w:iCs w:val="1"/>
          <w:color w:val="auto"/>
          <w:vertAlign w:val="superscript"/>
        </w:rPr>
        <w:t>st</w:t>
      </w:r>
      <w:r>
        <w:rPr>
          <w:rFonts w:ascii="Calibri" w:cs="Calibri" w:eastAsia="Calibri" w:hAnsi="Calibri"/>
          <w:sz w:val="19"/>
          <w:szCs w:val="19"/>
          <w:i w:val="1"/>
          <w:iCs w:val="1"/>
          <w:color w:val="auto"/>
        </w:rPr>
        <w:t xml:space="preserve"> allogeneic CAR-T cell therapy in the clinic with a PD-1 knockout, a genome-editng strategy designed to improve the persistence</w:t>
      </w:r>
    </w:p>
    <w:p>
      <w:pPr>
        <w:ind w:left="4760"/>
        <w:spacing w:after="0" w:line="194" w:lineRule="auto"/>
        <w:rPr>
          <w:rFonts w:ascii="Calibri" w:cs="Calibri" w:eastAsia="Calibri" w:hAnsi="Calibri"/>
          <w:sz w:val="19"/>
          <w:szCs w:val="19"/>
          <w:i w:val="1"/>
          <w:iCs w:val="1"/>
          <w:color w:val="auto"/>
        </w:rPr>
      </w:pPr>
      <w:r>
        <w:rPr>
          <w:rFonts w:ascii="Calibri" w:cs="Calibri" w:eastAsia="Calibri" w:hAnsi="Calibri"/>
          <w:sz w:val="19"/>
          <w:szCs w:val="19"/>
          <w:i w:val="1"/>
          <w:iCs w:val="1"/>
          <w:color w:val="auto"/>
        </w:rPr>
        <w:t>of anttumor actvity --</w:t>
      </w:r>
    </w:p>
    <w:p>
      <w:pPr>
        <w:spacing w:after="0" w:line="206" w:lineRule="exact"/>
        <w:rPr>
          <w:rFonts w:ascii="Calibri" w:cs="Calibri" w:eastAsia="Calibri" w:hAnsi="Calibri"/>
          <w:sz w:val="19"/>
          <w:szCs w:val="19"/>
          <w:i w:val="1"/>
          <w:iCs w:val="1"/>
          <w:color w:val="auto"/>
        </w:rPr>
      </w:pPr>
    </w:p>
    <w:p>
      <w:pPr>
        <w:ind w:left="3100" w:hanging="152"/>
        <w:spacing w:after="0"/>
        <w:tabs>
          <w:tab w:leader="none" w:pos="3100" w:val="left"/>
        </w:tabs>
        <w:numPr>
          <w:ilvl w:val="2"/>
          <w:numId w:val="3"/>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Caribou webcast conference call planned for today at 10:15 am ET –</w:t>
      </w:r>
    </w:p>
    <w:p>
      <w:pPr>
        <w:spacing w:after="0" w:line="200" w:lineRule="exact"/>
        <w:rPr>
          <w:sz w:val="20"/>
          <w:szCs w:val="20"/>
          <w:color w:val="auto"/>
        </w:rPr>
      </w:pPr>
    </w:p>
    <w:p>
      <w:pPr>
        <w:ind w:left="3600" w:right="2060" w:hanging="840"/>
        <w:spacing w:after="0" w:line="233" w:lineRule="auto"/>
        <w:tabs>
          <w:tab w:leader="none" w:pos="2913" w:val="left"/>
        </w:tabs>
        <w:numPr>
          <w:ilvl w:val="0"/>
          <w:numId w:val="4"/>
        </w:numPr>
        <w:rPr>
          <w:rFonts w:ascii="Calibri" w:cs="Calibri" w:eastAsia="Calibri" w:hAnsi="Calibri"/>
          <w:sz w:val="19"/>
          <w:szCs w:val="19"/>
          <w:i w:val="1"/>
          <w:iCs w:val="1"/>
          <w:color w:val="auto"/>
        </w:rPr>
      </w:pPr>
      <w:r>
        <w:rPr>
          <w:rFonts w:ascii="Calibri" w:cs="Calibri" w:eastAsia="Calibri" w:hAnsi="Calibri"/>
          <w:sz w:val="19"/>
          <w:szCs w:val="19"/>
          <w:i w:val="1"/>
          <w:iCs w:val="1"/>
          <w:color w:val="auto"/>
        </w:rPr>
        <w:t>Inital data scheduled to be shared at the European Hematology Associaton (EHA) 2022 Congress; additonal ANTLER data expected by YE 2022 --</w:t>
      </w:r>
    </w:p>
    <w:p>
      <w:pPr>
        <w:spacing w:after="0" w:line="212" w:lineRule="exact"/>
        <w:rPr>
          <w:sz w:val="20"/>
          <w:szCs w:val="20"/>
          <w:color w:val="auto"/>
        </w:rPr>
      </w:pPr>
    </w:p>
    <w:p>
      <w:pPr>
        <w:ind w:right="40"/>
        <w:spacing w:after="0" w:line="225" w:lineRule="auto"/>
        <w:rPr>
          <w:sz w:val="20"/>
          <w:szCs w:val="20"/>
          <w:color w:val="auto"/>
        </w:rPr>
      </w:pPr>
      <w:r>
        <w:rPr>
          <w:rFonts w:ascii="Calibri" w:cs="Calibri" w:eastAsia="Calibri" w:hAnsi="Calibri"/>
          <w:sz w:val="19"/>
          <w:szCs w:val="19"/>
          <w:color w:val="auto"/>
        </w:rPr>
        <w:t>BERKELEY, CA, May 12, 2022 – Caribou Biosciences, Inc. (Nasdaq: CRBU), a leading clinical-stage CRISPR genome-editng biopharmaceutcal company, today announced inital results demonstratng a 100% overall response rate (ORR) and 80% complete response rate (CR) in cohort 1 (n=5 evaluable) from its ANTLER Phase 1 trial for CB-010 in patents with relapsed or refractory B cell non-Hodgkin lymphoma (r/r B-NHL). These inital data are scheduled to be shared at the European Hematology Associaton (EHA) 2022 Hybrid Congress, being held in Vienna, Austria, June 9-17, 2022.</w:t>
      </w:r>
    </w:p>
    <w:p>
      <w:pPr>
        <w:spacing w:after="0" w:line="214" w:lineRule="exact"/>
        <w:rPr>
          <w:sz w:val="20"/>
          <w:szCs w:val="20"/>
          <w:color w:val="auto"/>
        </w:rPr>
      </w:pPr>
    </w:p>
    <w:p>
      <w:pPr>
        <w:ind w:right="20"/>
        <w:spacing w:after="0" w:line="226" w:lineRule="auto"/>
        <w:rPr>
          <w:sz w:val="20"/>
          <w:szCs w:val="20"/>
          <w:color w:val="auto"/>
        </w:rPr>
      </w:pPr>
      <w:r>
        <w:rPr>
          <w:rFonts w:ascii="Calibri" w:cs="Calibri" w:eastAsia="Calibri" w:hAnsi="Calibri"/>
          <w:sz w:val="19"/>
          <w:szCs w:val="19"/>
          <w:color w:val="auto"/>
        </w:rPr>
        <w:t>“Our inital CB-010 data are excitng, and we believe these results show the potental to set a new therapeutc bar in treatng patents with aggressive r/r B-NHL. These excellent inital outcomes represent important steps toward validatng our chRDNA genome-editng platorm as well as our plans for future development of CB-010 and our broader pipeline,” said Rachel Haurwitz, Ph.D., Caribou’s president and chief executve ofcer. “CB-010 is the frst allogeneic ant-CD19 CAR-T cell therapy in the clinic with a PD-1 knock-out, a genome-editng strategy designed to limit premature CAR-T cell exhauston, potentally leading to beter tumor debulking and an improved therapeutc index through sustained anttumor actvity. We are slated to present additonal ANTLER interim data at EHA next month and expect more data by year end as we contnue to advance our lead program. Our overarching goal is to develop CB-010 such that it will meaningfully rival autologous cell therapies to reach broader groups of patents globally who are in need of of-the-shelf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291465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5" w:name="page6"/>
    <w:bookmarkEnd w:id="5"/>
    <w:p>
      <w:pPr>
        <w:ind w:right="40"/>
        <w:spacing w:after="0" w:line="226" w:lineRule="auto"/>
        <w:rPr>
          <w:sz w:val="20"/>
          <w:szCs w:val="20"/>
          <w:color w:val="auto"/>
        </w:rPr>
      </w:pPr>
      <w:r>
        <w:rPr>
          <w:rFonts w:ascii="Calibri" w:cs="Calibri" w:eastAsia="Calibri" w:hAnsi="Calibri"/>
          <w:sz w:val="19"/>
          <w:szCs w:val="19"/>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2110105" cy="638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10105" cy="638175"/>
                    </a:xfrm>
                    <a:prstGeom prst="rect">
                      <a:avLst/>
                    </a:prstGeom>
                    <a:noFill/>
                  </pic:spPr>
                </pic:pic>
              </a:graphicData>
            </a:graphic>
          </wp:anchor>
        </w:drawing>
        <w:t>“We are excited to see a 100% overall response rate with CB-010 at dose level 1 for these patents who have limited treatment optons,” said Syed Rizvi, M.D., Caribou’s chief medical ofcer. “We believe this inital level of actvity is unparalleled for a single, startng dose of cell therapy. CB-010 was generally well-tolerated with adverse events routnely observed in autologous or allogeneic ant-CD19 CAR-T cell therapies. At EHA next month, we are scheduled to share longer follow up data from the patents in Cohort 1 who received a single administraton of CB-010 at the frst dose level. We look forward to contnuing the development of our pipeline of allogeneic CAR-T cell therapies for patents with hematologic malignancies.”</w:t>
      </w:r>
    </w:p>
    <w:p>
      <w:pPr>
        <w:spacing w:after="0" w:line="215" w:lineRule="exact"/>
        <w:rPr>
          <w:sz w:val="20"/>
          <w:szCs w:val="20"/>
          <w:color w:val="auto"/>
        </w:rPr>
      </w:pPr>
    </w:p>
    <w:p>
      <w:pPr>
        <w:jc w:val="both"/>
        <w:spacing w:after="0" w:line="207" w:lineRule="auto"/>
        <w:rPr>
          <w:sz w:val="20"/>
          <w:szCs w:val="20"/>
          <w:color w:val="auto"/>
        </w:rPr>
      </w:pPr>
      <w:r>
        <w:rPr>
          <w:rFonts w:ascii="Calibri" w:cs="Calibri" w:eastAsia="Calibri" w:hAnsi="Calibri"/>
          <w:sz w:val="19"/>
          <w:szCs w:val="19"/>
          <w:color w:val="auto"/>
        </w:rPr>
        <w:t>The EHA abstract includes safety, tolerability, and inital anttumor actvity of CB-010 administered at dose level 1 (40x10</w:t>
      </w:r>
      <w:r>
        <w:rPr>
          <w:rFonts w:ascii="Calibri" w:cs="Calibri" w:eastAsia="Calibri" w:hAnsi="Calibri"/>
          <w:sz w:val="25"/>
          <w:szCs w:val="25"/>
          <w:color w:val="auto"/>
          <w:vertAlign w:val="superscript"/>
        </w:rPr>
        <w:t>6</w:t>
      </w:r>
      <w:r>
        <w:rPr>
          <w:rFonts w:ascii="Calibri" w:cs="Calibri" w:eastAsia="Calibri" w:hAnsi="Calibri"/>
          <w:sz w:val="19"/>
          <w:szCs w:val="19"/>
          <w:color w:val="auto"/>
        </w:rPr>
        <w:t xml:space="preserve"> CAR-T cells) to 6 patents with r/r B-NHL who had relapsed afer previous treatment with a median of 3 prior therapies (range 2-8). Prior to a single dose of CB-010, patents received a lymphodepleton regimen consistng of cyclophosphamide at 60 mg/kg/d for 2 days followed by fudarabine at 25 mg/m2/d for 5 days.</w:t>
      </w:r>
    </w:p>
    <w:p>
      <w:pPr>
        <w:spacing w:after="0" w:line="212" w:lineRule="exact"/>
        <w:rPr>
          <w:sz w:val="20"/>
          <w:szCs w:val="20"/>
          <w:color w:val="auto"/>
        </w:rPr>
      </w:pPr>
    </w:p>
    <w:p>
      <w:pPr>
        <w:ind w:right="20"/>
        <w:spacing w:after="0" w:line="224" w:lineRule="auto"/>
        <w:rPr>
          <w:sz w:val="20"/>
          <w:szCs w:val="20"/>
          <w:color w:val="auto"/>
        </w:rPr>
      </w:pPr>
      <w:r>
        <w:rPr>
          <w:rFonts w:ascii="Calibri" w:cs="Calibri" w:eastAsia="Calibri" w:hAnsi="Calibri"/>
          <w:sz w:val="19"/>
          <w:szCs w:val="19"/>
          <w:color w:val="auto"/>
        </w:rPr>
        <w:t>As of the February 23, 2022 data cutof date, 6 patents had been treated with CB-010 and 5 had completed the 28-day dose-limitng toxicity (DLT) evaluaton period. 100% (n=5) achieved a response; 80% (n=4) achieved a CR, and 20% (n=1) achieved a partal response (PR). All 4 patents who achieved a CR at 28 days had an ongoing CR at 3 months. The longest measured CR as of the data cutof date was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17145</wp:posOffset>
            </wp:positionV>
            <wp:extent cx="4686300" cy="257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86300"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9"/>
          <w:szCs w:val="19"/>
          <w:color w:val="auto"/>
        </w:rPr>
        <w:t>Footnote: data cutof date of February 23, 2022, data collecton ongoing, efcacy based on Lugano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288290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154" w:right="379" w:bottom="1440" w:gutter="0" w:footer="0" w:header="0"/>
        </w:sectPr>
      </w:pPr>
    </w:p>
    <w:bookmarkStart w:id="6" w:name="page7"/>
    <w:bookmarkEnd w:id="6"/>
    <w:p>
      <w:pPr>
        <w:ind w:right="300"/>
        <w:spacing w:after="0" w:line="226" w:lineRule="auto"/>
        <w:rPr>
          <w:sz w:val="20"/>
          <w:szCs w:val="20"/>
          <w:color w:val="auto"/>
        </w:rPr>
      </w:pPr>
      <w:r>
        <w:rPr>
          <w:rFonts w:ascii="Calibri" w:cs="Calibri" w:eastAsia="Calibri" w:hAnsi="Calibri"/>
          <w:sz w:val="19"/>
          <w:szCs w:val="19"/>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2110105" cy="638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10105" cy="638175"/>
                    </a:xfrm>
                    <a:prstGeom prst="rect">
                      <a:avLst/>
                    </a:prstGeom>
                    <a:noFill/>
                  </pic:spPr>
                </pic:pic>
              </a:graphicData>
            </a:graphic>
          </wp:anchor>
        </w:drawing>
        <w:t>Following treatment with CB-010, there were no cases of graf versus host disease. 3 of 6 patents developed Grade 3 or 4 adverse events (AEs) within the frst 28 days: neutropenia (50%), thrombocytopenia (33%), anemia (17%), and hypogammaglobulinemia (17%). One patent experienced Grade 1 CRS (17%) and Grade 3 ICANS (17%), which was characterized as a DLT, for which the patent received tocilizumab and steroids and recovered from the DLT within 39 hours. This patent went on to achieve a CR.</w:t>
      </w:r>
    </w:p>
    <w:p>
      <w:pPr>
        <w:spacing w:after="0" w:line="214" w:lineRule="exact"/>
        <w:rPr>
          <w:sz w:val="20"/>
          <w:szCs w:val="20"/>
          <w:color w:val="auto"/>
        </w:rPr>
      </w:pPr>
    </w:p>
    <w:p>
      <w:pPr>
        <w:ind w:right="160"/>
        <w:spacing w:after="0" w:line="203" w:lineRule="auto"/>
        <w:rPr>
          <w:sz w:val="20"/>
          <w:szCs w:val="20"/>
          <w:color w:val="auto"/>
        </w:rPr>
      </w:pPr>
      <w:r>
        <w:rPr>
          <w:rFonts w:ascii="Calibri" w:cs="Calibri" w:eastAsia="Calibri" w:hAnsi="Calibri"/>
          <w:sz w:val="19"/>
          <w:szCs w:val="19"/>
          <w:color w:val="auto"/>
        </w:rPr>
        <w:t>Based on promising inital safety and efcacy data from cohort 1 at dose level 1 (40x10</w:t>
      </w:r>
      <w:r>
        <w:rPr>
          <w:rFonts w:ascii="Calibri" w:cs="Calibri" w:eastAsia="Calibri" w:hAnsi="Calibri"/>
          <w:sz w:val="25"/>
          <w:szCs w:val="25"/>
          <w:color w:val="auto"/>
          <w:vertAlign w:val="superscript"/>
        </w:rPr>
        <w:t>6</w:t>
      </w:r>
      <w:r>
        <w:rPr>
          <w:rFonts w:ascii="Calibri" w:cs="Calibri" w:eastAsia="Calibri" w:hAnsi="Calibri"/>
          <w:sz w:val="19"/>
          <w:szCs w:val="19"/>
          <w:color w:val="auto"/>
        </w:rPr>
        <w:t xml:space="preserve"> CAR-T cells), the ANTLER trial is now enrolling patents in cohort 2 at dose level 2 (80x10</w:t>
      </w:r>
      <w:r>
        <w:rPr>
          <w:rFonts w:ascii="Calibri" w:cs="Calibri" w:eastAsia="Calibri" w:hAnsi="Calibri"/>
          <w:sz w:val="25"/>
          <w:szCs w:val="25"/>
          <w:color w:val="auto"/>
          <w:vertAlign w:val="superscript"/>
        </w:rPr>
        <w:t>6</w:t>
      </w:r>
      <w:r>
        <w:rPr>
          <w:rFonts w:ascii="Calibri" w:cs="Calibri" w:eastAsia="Calibri" w:hAnsi="Calibri"/>
          <w:sz w:val="19"/>
          <w:szCs w:val="19"/>
          <w:color w:val="auto"/>
        </w:rPr>
        <w:t xml:space="preserve"> CAR-T cells). Additonal data are expected by year end.</w:t>
      </w:r>
    </w:p>
    <w:p>
      <w:pPr>
        <w:spacing w:after="0" w:line="128" w:lineRule="exact"/>
        <w:rPr>
          <w:sz w:val="20"/>
          <w:szCs w:val="20"/>
          <w:color w:val="auto"/>
        </w:rPr>
      </w:pPr>
    </w:p>
    <w:p>
      <w:pPr>
        <w:spacing w:after="0"/>
        <w:rPr>
          <w:sz w:val="20"/>
          <w:szCs w:val="20"/>
          <w:color w:val="auto"/>
        </w:rPr>
      </w:pPr>
      <w:r>
        <w:rPr>
          <w:rFonts w:ascii="Calibri" w:cs="Calibri" w:eastAsia="Calibri" w:hAnsi="Calibri"/>
          <w:sz w:val="19"/>
          <w:szCs w:val="19"/>
          <w:color w:val="auto"/>
        </w:rPr>
        <w:t>Details of the poster presentaton at EHA are as follows:</w:t>
      </w:r>
    </w:p>
    <w:p>
      <w:pPr>
        <w:ind w:right="240"/>
        <w:spacing w:after="0" w:line="226" w:lineRule="auto"/>
        <w:rPr>
          <w:sz w:val="20"/>
          <w:szCs w:val="20"/>
          <w:color w:val="auto"/>
        </w:rPr>
      </w:pPr>
      <w:r>
        <w:rPr>
          <w:rFonts w:ascii="Calibri" w:cs="Calibri" w:eastAsia="Calibri" w:hAnsi="Calibri"/>
          <w:sz w:val="19"/>
          <w:szCs w:val="19"/>
          <w:b w:val="1"/>
          <w:bCs w:val="1"/>
          <w:color w:val="auto"/>
        </w:rPr>
        <w:t xml:space="preserve">Title: </w:t>
      </w:r>
      <w:r>
        <w:rPr>
          <w:rFonts w:ascii="Calibri" w:cs="Calibri" w:eastAsia="Calibri" w:hAnsi="Calibri"/>
          <w:sz w:val="19"/>
          <w:szCs w:val="19"/>
          <w:color w:val="auto"/>
        </w:rPr>
        <w:t>First-in-human trial of CB-010, a CRISPR-edited allogeneic ant-CD19 CAR-T cell therapy with a PD-1 knock out, in patents with relapsed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refractory B cell non-Hodgkin lymphoma (ANTLER study)</w:t>
      </w:r>
    </w:p>
    <w:p>
      <w:pPr>
        <w:spacing w:after="0" w:line="233" w:lineRule="auto"/>
        <w:rPr>
          <w:sz w:val="20"/>
          <w:szCs w:val="20"/>
          <w:color w:val="auto"/>
        </w:rPr>
      </w:pPr>
      <w:r>
        <w:rPr>
          <w:rFonts w:ascii="Calibri" w:cs="Calibri" w:eastAsia="Calibri" w:hAnsi="Calibri"/>
          <w:sz w:val="19"/>
          <w:szCs w:val="19"/>
          <w:b w:val="1"/>
          <w:bCs w:val="1"/>
          <w:color w:val="auto"/>
        </w:rPr>
        <w:t>Abstract</w:t>
      </w:r>
      <w:r>
        <w:rPr>
          <w:rFonts w:ascii="Calibri" w:cs="Calibri" w:eastAsia="Calibri" w:hAnsi="Calibri"/>
          <w:sz w:val="19"/>
          <w:szCs w:val="19"/>
          <w:color w:val="auto"/>
        </w:rPr>
        <w:t>: P1455</w:t>
      </w:r>
    </w:p>
    <w:p>
      <w:pPr>
        <w:ind w:right="700"/>
        <w:spacing w:after="0" w:line="220" w:lineRule="auto"/>
        <w:rPr>
          <w:sz w:val="20"/>
          <w:szCs w:val="20"/>
          <w:color w:val="auto"/>
        </w:rPr>
      </w:pPr>
      <w:r>
        <w:rPr>
          <w:rFonts w:ascii="Calibri" w:cs="Calibri" w:eastAsia="Calibri" w:hAnsi="Calibri"/>
          <w:sz w:val="19"/>
          <w:szCs w:val="19"/>
          <w:b w:val="1"/>
          <w:bCs w:val="1"/>
          <w:color w:val="auto"/>
        </w:rPr>
        <w:t xml:space="preserve">Presenter: </w:t>
      </w:r>
      <w:r>
        <w:rPr>
          <w:rFonts w:ascii="Calibri" w:cs="Calibri" w:eastAsia="Calibri" w:hAnsi="Calibri"/>
          <w:sz w:val="19"/>
          <w:szCs w:val="19"/>
          <w:color w:val="auto"/>
        </w:rPr>
        <w:t>Loreta J. Nastoupil, M.D., secton chief, new drug development; associate professor, Department of Lymphoma/Myeloma,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University of Texas MD Anderson Cancer Center</w:t>
      </w:r>
    </w:p>
    <w:p>
      <w:pPr>
        <w:spacing w:after="0" w:line="233" w:lineRule="auto"/>
        <w:rPr>
          <w:sz w:val="20"/>
          <w:szCs w:val="20"/>
          <w:color w:val="auto"/>
        </w:rPr>
      </w:pPr>
      <w:r>
        <w:rPr>
          <w:rFonts w:ascii="Calibri" w:cs="Calibri" w:eastAsia="Calibri" w:hAnsi="Calibri"/>
          <w:sz w:val="19"/>
          <w:szCs w:val="19"/>
          <w:b w:val="1"/>
          <w:bCs w:val="1"/>
          <w:color w:val="auto"/>
        </w:rPr>
        <w:t xml:space="preserve">Date and Time: </w:t>
      </w:r>
      <w:r>
        <w:rPr>
          <w:rFonts w:ascii="Calibri" w:cs="Calibri" w:eastAsia="Calibri" w:hAnsi="Calibri"/>
          <w:sz w:val="19"/>
          <w:szCs w:val="19"/>
          <w:color w:val="auto"/>
        </w:rPr>
        <w:t>Friday, June 10, 2022, 16:30 – 17:45 CEST (10:30 – 11:45 am ET)</w:t>
      </w:r>
    </w:p>
    <w:p>
      <w:pPr>
        <w:spacing w:after="0" w:line="220" w:lineRule="auto"/>
        <w:rPr>
          <w:sz w:val="20"/>
          <w:szCs w:val="20"/>
          <w:color w:val="auto"/>
        </w:rPr>
      </w:pPr>
      <w:r>
        <w:rPr>
          <w:rFonts w:ascii="Calibri" w:cs="Calibri" w:eastAsia="Calibri" w:hAnsi="Calibri"/>
          <w:sz w:val="19"/>
          <w:szCs w:val="19"/>
          <w:b w:val="1"/>
          <w:bCs w:val="1"/>
          <w:color w:val="auto"/>
        </w:rPr>
        <w:t>Session Title</w:t>
      </w:r>
      <w:r>
        <w:rPr>
          <w:rFonts w:ascii="Calibri" w:cs="Calibri" w:eastAsia="Calibri" w:hAnsi="Calibri"/>
          <w:sz w:val="19"/>
          <w:szCs w:val="19"/>
          <w:color w:val="auto"/>
        </w:rPr>
        <w:t>: Gene therapy, cellular immunotherapy and vaccinaton - Clinical</w:t>
      </w:r>
    </w:p>
    <w:p>
      <w:pPr>
        <w:spacing w:after="0" w:line="232" w:lineRule="auto"/>
        <w:rPr>
          <w:sz w:val="20"/>
          <w:szCs w:val="20"/>
          <w:color w:val="auto"/>
        </w:rPr>
      </w:pPr>
      <w:r>
        <w:rPr>
          <w:rFonts w:ascii="Calibri" w:cs="Calibri" w:eastAsia="Calibri" w:hAnsi="Calibri"/>
          <w:sz w:val="19"/>
          <w:szCs w:val="19"/>
          <w:b w:val="1"/>
          <w:bCs w:val="1"/>
          <w:color w:val="auto"/>
        </w:rPr>
        <w:t xml:space="preserve">Locaton: </w:t>
      </w:r>
      <w:r>
        <w:rPr>
          <w:rFonts w:ascii="Calibri" w:cs="Calibri" w:eastAsia="Calibri" w:hAnsi="Calibri"/>
          <w:sz w:val="19"/>
          <w:szCs w:val="19"/>
          <w:color w:val="auto"/>
        </w:rPr>
        <w:t>Messe Wien Exhibiton &amp; Congress Center, Vienna, Austria</w:t>
      </w:r>
    </w:p>
    <w:p>
      <w:pPr>
        <w:spacing w:after="0" w:line="201" w:lineRule="exact"/>
        <w:rPr>
          <w:sz w:val="20"/>
          <w:szCs w:val="20"/>
          <w:color w:val="auto"/>
        </w:rPr>
      </w:pPr>
    </w:p>
    <w:p>
      <w:pPr>
        <w:ind w:right="100"/>
        <w:spacing w:after="0" w:line="228" w:lineRule="auto"/>
        <w:rPr>
          <w:sz w:val="20"/>
          <w:szCs w:val="20"/>
          <w:color w:val="auto"/>
        </w:rPr>
      </w:pPr>
      <w:r>
        <w:rPr>
          <w:rFonts w:ascii="Calibri" w:cs="Calibri" w:eastAsia="Calibri" w:hAnsi="Calibri"/>
          <w:sz w:val="19"/>
          <w:szCs w:val="19"/>
          <w:color w:val="auto"/>
        </w:rPr>
        <w:t>Presentatons and posters will be available for registered atendees of EHA for on-demand viewing on the EHA website on June 10, 2022 at 9:00 am CEST (3:00 am ET). Caribou plans to issue a press release on the data at 9:00 am CEST (3:00 am ET) on Friday June 10, 2022 and the poster will be available on the Presentatons page of the Investors secton of Caribou’s website.</w:t>
      </w:r>
    </w:p>
    <w:p>
      <w:pPr>
        <w:spacing w:after="0" w:line="20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Webcast Conference Call Today at 10:15 am ET</w:t>
      </w:r>
    </w:p>
    <w:p>
      <w:pPr>
        <w:ind w:right="740"/>
        <w:spacing w:after="0" w:line="226" w:lineRule="auto"/>
        <w:rPr>
          <w:sz w:val="20"/>
          <w:szCs w:val="20"/>
          <w:color w:val="auto"/>
        </w:rPr>
      </w:pPr>
      <w:r>
        <w:rPr>
          <w:rFonts w:ascii="Calibri" w:cs="Calibri" w:eastAsia="Calibri" w:hAnsi="Calibri"/>
          <w:sz w:val="19"/>
          <w:szCs w:val="19"/>
          <w:color w:val="auto"/>
        </w:rPr>
        <w:t>Caribou will host a webcast conference call today to discuss the inital ANTLER data for CB-010 in the accepted EHA abstract. The webcast presenters will include:</w:t>
      </w:r>
    </w:p>
    <w:p>
      <w:pPr>
        <w:ind w:left="460" w:hanging="382"/>
        <w:spacing w:after="0" w:line="233" w:lineRule="auto"/>
        <w:tabs>
          <w:tab w:leader="none" w:pos="460"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Rachel Haurwitz, Ph.D., president and chief executve ofcer of Caribou</w:t>
      </w:r>
    </w:p>
    <w:p>
      <w:pPr>
        <w:spacing w:after="0" w:line="10" w:lineRule="exact"/>
        <w:rPr>
          <w:rFonts w:ascii="Times New Roman" w:cs="Times New Roman" w:eastAsia="Times New Roman" w:hAnsi="Times New Roman"/>
          <w:sz w:val="19"/>
          <w:szCs w:val="19"/>
          <w:color w:val="auto"/>
        </w:rPr>
      </w:pPr>
    </w:p>
    <w:p>
      <w:pPr>
        <w:ind w:left="460" w:hanging="382"/>
        <w:spacing w:after="0" w:line="222" w:lineRule="auto"/>
        <w:tabs>
          <w:tab w:leader="none" w:pos="460"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Syed Rizvi, M.D., chief medical ofcer of Caribou</w:t>
      </w:r>
    </w:p>
    <w:p>
      <w:pPr>
        <w:spacing w:after="0" w:line="10" w:lineRule="exact"/>
        <w:rPr>
          <w:rFonts w:ascii="Times New Roman" w:cs="Times New Roman" w:eastAsia="Times New Roman" w:hAnsi="Times New Roman"/>
          <w:sz w:val="19"/>
          <w:szCs w:val="19"/>
          <w:color w:val="auto"/>
        </w:rPr>
      </w:pPr>
    </w:p>
    <w:p>
      <w:pPr>
        <w:ind w:left="460" w:hanging="382"/>
        <w:spacing w:after="0" w:line="234" w:lineRule="auto"/>
        <w:tabs>
          <w:tab w:leader="none" w:pos="460"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Steven Kanner, Ph.D., chief scientfc ofcer of Caribou</w:t>
      </w:r>
    </w:p>
    <w:p>
      <w:pPr>
        <w:spacing w:after="0" w:line="10" w:lineRule="exact"/>
        <w:rPr>
          <w:rFonts w:ascii="Times New Roman" w:cs="Times New Roman" w:eastAsia="Times New Roman" w:hAnsi="Times New Roman"/>
          <w:sz w:val="19"/>
          <w:szCs w:val="19"/>
          <w:color w:val="auto"/>
        </w:rPr>
      </w:pPr>
    </w:p>
    <w:p>
      <w:pPr>
        <w:ind w:left="460" w:hanging="382"/>
        <w:spacing w:after="0" w:line="222" w:lineRule="auto"/>
        <w:tabs>
          <w:tab w:leader="none" w:pos="460" w:val="left"/>
        </w:tabs>
        <w:numPr>
          <w:ilvl w:val="0"/>
          <w:numId w:val="5"/>
        </w:numPr>
        <w:rPr>
          <w:rFonts w:ascii="Times New Roman" w:cs="Times New Roman" w:eastAsia="Times New Roman" w:hAnsi="Times New Roman"/>
          <w:sz w:val="19"/>
          <w:szCs w:val="19"/>
          <w:color w:val="auto"/>
        </w:rPr>
      </w:pPr>
      <w:r>
        <w:rPr>
          <w:rFonts w:ascii="Calibri" w:cs="Calibri" w:eastAsia="Calibri" w:hAnsi="Calibri"/>
          <w:sz w:val="19"/>
          <w:szCs w:val="19"/>
          <w:color w:val="auto"/>
        </w:rPr>
        <w:t>Jason O’Byrne, chief fnancial ofcer of Caribou</w:t>
      </w:r>
    </w:p>
    <w:p>
      <w:pPr>
        <w:spacing w:after="0" w:line="212" w:lineRule="exact"/>
        <w:rPr>
          <w:sz w:val="20"/>
          <w:szCs w:val="20"/>
          <w:color w:val="auto"/>
        </w:rPr>
      </w:pPr>
    </w:p>
    <w:p>
      <w:pPr>
        <w:spacing w:after="0" w:line="228" w:lineRule="auto"/>
        <w:rPr>
          <w:sz w:val="20"/>
          <w:szCs w:val="20"/>
          <w:color w:val="auto"/>
        </w:rPr>
      </w:pPr>
      <w:r>
        <w:rPr>
          <w:rFonts w:ascii="Calibri" w:cs="Calibri" w:eastAsia="Calibri" w:hAnsi="Calibri"/>
          <w:sz w:val="19"/>
          <w:szCs w:val="19"/>
          <w:color w:val="auto"/>
        </w:rPr>
        <w:t>The live webcast and conference call, with an accompanying presentaton, will be accessible under Events in the Investors secton of the company’s website. To partcipate in the conference call, dial 844-862-9351 (domestc) or 929-517-0932 (internatonal) and reference conference ID #7589468. The archived audio webcast will be available on Caribou’s website following the call and will be available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290195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7" w:name="page8"/>
    <w:bookmarkEnd w:id="7"/>
    <w:p>
      <w:pPr>
        <w:spacing w:after="0"/>
        <w:rPr>
          <w:sz w:val="20"/>
          <w:szCs w:val="20"/>
          <w:color w:val="auto"/>
        </w:rPr>
      </w:pPr>
      <w:r>
        <w:rPr>
          <w:rFonts w:ascii="Calibri" w:cs="Calibri" w:eastAsia="Calibri" w:hAnsi="Calibri"/>
          <w:sz w:val="19"/>
          <w:szCs w:val="19"/>
          <w:b w:val="1"/>
          <w:bCs w:val="1"/>
          <w:color w:val="005081"/>
        </w:rPr>
        <w:drawing>
          <wp:anchor simplePos="0" relativeHeight="251657728" behindDoc="1" locked="0" layoutInCell="0" allowOverlap="1">
            <wp:simplePos x="0" y="0"/>
            <wp:positionH relativeFrom="page">
              <wp:posOffset>200025</wp:posOffset>
            </wp:positionH>
            <wp:positionV relativeFrom="page">
              <wp:posOffset>88900</wp:posOffset>
            </wp:positionV>
            <wp:extent cx="2110105" cy="638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10105" cy="638175"/>
                    </a:xfrm>
                    <a:prstGeom prst="rect">
                      <a:avLst/>
                    </a:prstGeom>
                    <a:noFill/>
                  </pic:spPr>
                </pic:pic>
              </a:graphicData>
            </a:graphic>
          </wp:anchor>
        </w:drawing>
        <w:t>About CB-010</w:t>
      </w:r>
    </w:p>
    <w:p>
      <w:pPr>
        <w:ind w:right="380"/>
        <w:spacing w:after="0" w:line="225" w:lineRule="auto"/>
        <w:rPr>
          <w:sz w:val="20"/>
          <w:szCs w:val="20"/>
          <w:color w:val="auto"/>
        </w:rPr>
      </w:pPr>
      <w:r>
        <w:rPr>
          <w:rFonts w:ascii="Calibri" w:cs="Calibri" w:eastAsia="Calibri" w:hAnsi="Calibri"/>
          <w:sz w:val="19"/>
          <w:szCs w:val="19"/>
          <w:color w:val="auto"/>
        </w:rPr>
        <w:t xml:space="preserve">CB-010 is the lead product candidate from Caribou’s allogeneic CAR-T cell therapy platorm and is being evaluated in patents with relapsed or refractory B cell non-Hodgkin lymphoma (r/r B-NHL) in the ongoing ANTLER Phase 1 trial. CB-010 is an allogeneic ant-CD19 CAR-T cell therapy engineered using Cas9 CRISPR hybrid RNA-DNA (chRDNA) technology to insert a CD19-specifc CAR into the </w:t>
      </w:r>
      <w:r>
        <w:rPr>
          <w:rFonts w:ascii="Calibri" w:cs="Calibri" w:eastAsia="Calibri" w:hAnsi="Calibri"/>
          <w:sz w:val="19"/>
          <w:szCs w:val="19"/>
          <w:i w:val="1"/>
          <w:iCs w:val="1"/>
          <w:color w:val="auto"/>
        </w:rPr>
        <w:t>TRAC</w:t>
      </w:r>
      <w:r>
        <w:rPr>
          <w:rFonts w:ascii="Calibri" w:cs="Calibri" w:eastAsia="Calibri" w:hAnsi="Calibri"/>
          <w:sz w:val="19"/>
          <w:szCs w:val="19"/>
          <w:color w:val="auto"/>
        </w:rPr>
        <w:t xml:space="preserve"> gene and knock out PD-1 to boost the persistence of anttumor actvity. CB-010 is the frst allogeneic CAR-T cell therapy in the clinic with a PD-1 knock out. Additonal informaton on the ANTLER trial can be found at htps://clinicaltrials.gov using identfer NCT04637763.</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5081"/>
        </w:rPr>
        <w:t>About Caribou’s Novel Next-Generaton CRISPR Platorm</w:t>
      </w:r>
    </w:p>
    <w:p>
      <w:pPr>
        <w:ind w:right="20"/>
        <w:spacing w:after="0" w:line="227" w:lineRule="auto"/>
        <w:rPr>
          <w:sz w:val="20"/>
          <w:szCs w:val="20"/>
          <w:color w:val="auto"/>
        </w:rPr>
      </w:pPr>
      <w:r>
        <w:rPr>
          <w:rFonts w:ascii="Calibri" w:cs="Calibri" w:eastAsia="Calibri" w:hAnsi="Calibri"/>
          <w:sz w:val="19"/>
          <w:szCs w:val="19"/>
          <w:color w:val="auto"/>
        </w:rPr>
        <w:t>CRISPR genome editng uses easily designed, modular biological tools to make DNA changes in living cells. There are two basic components of Class 2 CRISPR systems: the nuclease protein that cuts DNA and the RNA molecule(s) that guide the nuclease to generate a site-specifc, double-stranded break, leading to an edit at the targeted genomic site. CRISPR systems are capable of editng unintended genomic sites, known as of-target editng, which may lead to harmful efects on cellular functon and phenotype. In response to this challenge, Caribou has developed CRISPR hybrid RNA-DNA guides (chRDNAs; pronounced “chardonnays”) that direct substantally more precise genome editng compared to all-RNA guides. Caribou is deploying the power of its Cas12a chRDNA technology to carry out high efciency multple edits, including multplex gene insertons, to develop CRISPR-edited therapies.</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5081"/>
        </w:rPr>
        <w:t>About Caribou Biosciences, Inc.</w:t>
      </w:r>
    </w:p>
    <w:p>
      <w:pPr>
        <w:spacing w:after="0" w:line="223" w:lineRule="auto"/>
        <w:rPr>
          <w:sz w:val="20"/>
          <w:szCs w:val="20"/>
          <w:color w:val="auto"/>
        </w:rPr>
      </w:pPr>
      <w:r>
        <w:rPr>
          <w:rFonts w:ascii="Calibri" w:cs="Calibri" w:eastAsia="Calibri" w:hAnsi="Calibri"/>
          <w:sz w:val="19"/>
          <w:szCs w:val="19"/>
          <w:color w:val="auto"/>
        </w:rPr>
        <w:t>Caribou Biosciences is a clinical-stage CRISPR genome-editng biopharmaceutcal company dedicated to developing transformatve therapies for patents with devastatng diseases. The company’s genome-editng platorm, including its proprietary Cas12a chRDNA technology, enables superior precision to develop cell therapies that are specifcally engineered for enhanced persistence. Caribou is advancing a pipeline of of-the-shelf CAR-T and CAR-NK cell therapies for the treatment of patents with hematologic malignancies and solid tumors.</w:t>
      </w:r>
    </w:p>
    <w:p>
      <w:pPr>
        <w:spacing w:after="0" w:line="207" w:lineRule="exact"/>
        <w:rPr>
          <w:sz w:val="20"/>
          <w:szCs w:val="20"/>
          <w:color w:val="auto"/>
        </w:rPr>
      </w:pPr>
    </w:p>
    <w:p>
      <w:pPr>
        <w:spacing w:after="0"/>
        <w:rPr>
          <w:sz w:val="20"/>
          <w:szCs w:val="20"/>
          <w:color w:val="auto"/>
        </w:rPr>
      </w:pPr>
      <w:r>
        <w:rPr>
          <w:rFonts w:ascii="Calibri" w:cs="Calibri" w:eastAsia="Calibri" w:hAnsi="Calibri"/>
          <w:sz w:val="19"/>
          <w:szCs w:val="19"/>
          <w:color w:val="auto"/>
        </w:rPr>
        <w:t>Follow us @CaribouBio and visit www.cariboubio.com.</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“Caribou Biosciences” and the Caribou logo are registered trademarks of Caribou Biosciences, Inc.</w:t>
      </w:r>
    </w:p>
    <w:p>
      <w:pPr>
        <w:spacing w:after="0" w:line="2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5081"/>
        </w:rPr>
        <w:t>Forward-Looking Statements</w:t>
      </w:r>
    </w:p>
    <w:p>
      <w:pPr>
        <w:ind w:right="100"/>
        <w:spacing w:after="0" w:line="225" w:lineRule="auto"/>
        <w:rPr>
          <w:sz w:val="20"/>
          <w:szCs w:val="20"/>
          <w:color w:val="auto"/>
        </w:rPr>
      </w:pPr>
      <w:r>
        <w:rPr>
          <w:rFonts w:ascii="Calibri" w:cs="Calibri" w:eastAsia="Calibri" w:hAnsi="Calibri"/>
          <w:sz w:val="19"/>
          <w:szCs w:val="19"/>
          <w:color w:val="auto"/>
        </w:rPr>
        <w:t>This press release contains forward-looking statements within the meaning of the Private Securites Litgaton Reform Act of 1995. These forward-looking statements include, without limitaton, statements related to Caribou’s strategy, plans, and objectves, and expectatons regarding its clinical and preclinical development programs, including its expectatons relatng to the tming of the release of inital and additonal patent data from its ANTLER phase 1 clinical trial for CB-010. Management believes that these forward-looking statements are reasonable as and when made. However, such forward-looking statements are subject to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176530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8" w:name="page9"/>
    <w:bookmarkEnd w:id="8"/>
    <w:p>
      <w:pPr>
        <w:spacing w:after="0" w:line="226" w:lineRule="auto"/>
        <w:rPr>
          <w:sz w:val="20"/>
          <w:szCs w:val="20"/>
          <w:color w:val="auto"/>
        </w:rPr>
      </w:pPr>
      <w:r>
        <w:rPr>
          <w:rFonts w:ascii="Calibri" w:cs="Calibri" w:eastAsia="Calibri" w:hAnsi="Calibri"/>
          <w:sz w:val="19"/>
          <w:szCs w:val="19"/>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2110105" cy="638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10105" cy="638175"/>
                    </a:xfrm>
                    <a:prstGeom prst="rect">
                      <a:avLst/>
                    </a:prstGeom>
                    <a:noFill/>
                  </pic:spPr>
                </pic:pic>
              </a:graphicData>
            </a:graphic>
          </wp:anchor>
        </w:drawing>
        <w:t>and uncertaintes, and actual results may difer materially from any future results expressed or implied by the forward-looking statements. Risks and uncertaintes include, without limitaton, risks inherent in development of cell therapy products; uncertaintes related to the initaton, cost, tming, progress, and results of Caribou’s current and future research and development programs, preclinical studies, and clinical trials; and the risk that inital or interim clinical trial data will not ultmately be predictve of the safety and efcacy of Caribou’s product candidates or that clinical outcomes may difer as more patent data becomes available; as well as other risk factors described from tme to tme in Caribou’s flings with the Securites and Exchange Commission, including its Annual Report on Form 10-K for the year ended December 31, 2021, and subsequent flings. In light of the signifcant uncertaintes in these forward-looking statements, you should not rely upon forward-looking statements as predictons of future events. Except as required by law, Caribou undertakes no obligaton to update publicly any forward-looking statements for any reason.</w:t>
      </w:r>
    </w:p>
    <w:p>
      <w:pPr>
        <w:spacing w:after="0" w:line="2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5081"/>
        </w:rPr>
        <w:t>Caribou Biosciences, Inc.</w:t>
      </w:r>
    </w:p>
    <w:p>
      <w:pPr>
        <w:spacing w:after="0" w:line="208" w:lineRule="auto"/>
        <w:rPr>
          <w:sz w:val="20"/>
          <w:szCs w:val="20"/>
          <w:color w:val="auto"/>
        </w:rPr>
      </w:pPr>
      <w:r>
        <w:rPr>
          <w:rFonts w:ascii="Calibri" w:cs="Calibri" w:eastAsia="Calibri" w:hAnsi="Calibri"/>
          <w:sz w:val="19"/>
          <w:szCs w:val="19"/>
          <w:b w:val="1"/>
          <w:bCs w:val="1"/>
          <w:color w:val="005081"/>
        </w:rPr>
        <w:t>Contacts:</w:t>
      </w:r>
    </w:p>
    <w:p>
      <w:pPr>
        <w:spacing w:after="0" w:line="232" w:lineRule="auto"/>
        <w:rPr>
          <w:sz w:val="20"/>
          <w:szCs w:val="20"/>
          <w:color w:val="auto"/>
        </w:rPr>
      </w:pPr>
      <w:r>
        <w:rPr>
          <w:rFonts w:ascii="Calibri" w:cs="Calibri" w:eastAsia="Calibri" w:hAnsi="Calibri"/>
          <w:sz w:val="19"/>
          <w:szCs w:val="19"/>
          <w:color w:val="auto"/>
        </w:rPr>
        <w:t>Amy Figueroa, CFA</w:t>
      </w:r>
    </w:p>
    <w:p>
      <w:pPr>
        <w:spacing w:after="0" w:line="233" w:lineRule="auto"/>
        <w:rPr>
          <w:sz w:val="20"/>
          <w:szCs w:val="20"/>
          <w:color w:val="auto"/>
        </w:rPr>
      </w:pPr>
      <w:r>
        <w:rPr>
          <w:rFonts w:ascii="Calibri" w:cs="Calibri" w:eastAsia="Calibri" w:hAnsi="Calibri"/>
          <w:sz w:val="19"/>
          <w:szCs w:val="19"/>
          <w:color w:val="auto"/>
        </w:rPr>
        <w:t>Investor Relatons and Corporate</w:t>
      </w:r>
    </w:p>
    <w:p>
      <w:pPr>
        <w:spacing w:after="0" w:line="208" w:lineRule="auto"/>
        <w:rPr>
          <w:sz w:val="20"/>
          <w:szCs w:val="20"/>
          <w:color w:val="auto"/>
        </w:rPr>
      </w:pPr>
      <w:r>
        <w:rPr>
          <w:rFonts w:ascii="Calibri" w:cs="Calibri" w:eastAsia="Calibri" w:hAnsi="Calibri"/>
          <w:sz w:val="19"/>
          <w:szCs w:val="19"/>
          <w:color w:val="auto"/>
        </w:rPr>
        <w:t>Communicatons</w:t>
      </w:r>
    </w:p>
    <w:p>
      <w:pPr>
        <w:spacing w:after="0" w:line="232" w:lineRule="auto"/>
        <w:rPr>
          <w:sz w:val="20"/>
          <w:szCs w:val="20"/>
          <w:color w:val="auto"/>
        </w:rPr>
      </w:pPr>
      <w:r>
        <w:rPr>
          <w:rFonts w:ascii="Calibri" w:cs="Calibri" w:eastAsia="Calibri" w:hAnsi="Calibri"/>
          <w:sz w:val="19"/>
          <w:szCs w:val="19"/>
          <w:color w:val="auto"/>
        </w:rPr>
        <w:t>afgueroa@cariboubio.com</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5081"/>
        </w:rPr>
        <w:t>Investors and Media:</w:t>
      </w:r>
    </w:p>
    <w:p>
      <w:pPr>
        <w:spacing w:after="0" w:line="232" w:lineRule="auto"/>
        <w:rPr>
          <w:sz w:val="20"/>
          <w:szCs w:val="20"/>
          <w:color w:val="auto"/>
        </w:rPr>
      </w:pPr>
      <w:r>
        <w:rPr>
          <w:rFonts w:ascii="Calibri" w:cs="Calibri" w:eastAsia="Calibri" w:hAnsi="Calibri"/>
          <w:sz w:val="19"/>
          <w:szCs w:val="19"/>
          <w:color w:val="auto"/>
        </w:rPr>
        <w:t>Elizabeth Wolfe, Ph.D., and Sylvia Wheeler</w:t>
      </w:r>
    </w:p>
    <w:p>
      <w:pPr>
        <w:spacing w:after="0" w:line="233" w:lineRule="auto"/>
        <w:rPr>
          <w:sz w:val="20"/>
          <w:szCs w:val="20"/>
          <w:color w:val="auto"/>
        </w:rPr>
      </w:pPr>
      <w:r>
        <w:rPr>
          <w:rFonts w:ascii="Calibri" w:cs="Calibri" w:eastAsia="Calibri" w:hAnsi="Calibri"/>
          <w:sz w:val="19"/>
          <w:szCs w:val="19"/>
          <w:color w:val="auto"/>
        </w:rPr>
        <w:t>Wheelhouse LSA</w:t>
      </w:r>
    </w:p>
    <w:p>
      <w:pPr>
        <w:spacing w:after="0" w:line="232" w:lineRule="auto"/>
        <w:rPr>
          <w:sz w:val="20"/>
          <w:szCs w:val="20"/>
          <w:color w:val="auto"/>
        </w:rPr>
      </w:pPr>
      <w:r>
        <w:rPr>
          <w:rFonts w:ascii="Calibri" w:cs="Calibri" w:eastAsia="Calibri" w:hAnsi="Calibri"/>
          <w:sz w:val="19"/>
          <w:szCs w:val="19"/>
          <w:color w:val="auto"/>
        </w:rPr>
        <w:t>lwolfe@wheelhouselsa.com</w:t>
      </w:r>
    </w:p>
    <w:p>
      <w:pPr>
        <w:spacing w:after="0" w:line="233" w:lineRule="auto"/>
        <w:rPr>
          <w:sz w:val="20"/>
          <w:szCs w:val="20"/>
          <w:color w:val="auto"/>
        </w:rPr>
      </w:pPr>
      <w:r>
        <w:rPr>
          <w:rFonts w:ascii="Calibri" w:cs="Calibri" w:eastAsia="Calibri" w:hAnsi="Calibri"/>
          <w:sz w:val="19"/>
          <w:szCs w:val="19"/>
          <w:color w:val="auto"/>
        </w:rPr>
        <w:t>swheeler@wheelhouselsa.com</w:t>
      </w:r>
    </w:p>
    <w:p>
      <w:pPr>
        <w:spacing w:after="0" w:line="206" w:lineRule="exact"/>
        <w:rPr>
          <w:sz w:val="20"/>
          <w:szCs w:val="20"/>
          <w:color w:val="auto"/>
        </w:rPr>
      </w:pPr>
    </w:p>
    <w:p>
      <w:pPr>
        <w:ind w:left="5980"/>
        <w:spacing w:after="0"/>
        <w:rPr>
          <w:sz w:val="20"/>
          <w:szCs w:val="20"/>
          <w:color w:val="auto"/>
        </w:rPr>
      </w:pPr>
      <w:r>
        <w:rPr>
          <w:rFonts w:ascii="Calibri" w:cs="Calibri" w:eastAsia="Calibri" w:hAnsi="Calibri"/>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175895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4514215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2022-05-12T09:05:50Z</dcterms:created>
  <dcterms:modified xsi:type="dcterms:W3CDTF">2022-05-12T09:05:50Z</dcterms:modified>
</cp:coreProperties>
</file>