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333-266712</w:t>
      </w:r>
    </w:p>
    <w:p>
      <w:pPr>
        <w:spacing w:after="0" w:line="19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the prospectus dated August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237490</wp:posOffset>
            </wp:positionV>
            <wp:extent cx="252031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19,230,769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left="560"/>
        <w:spacing w:after="0"/>
        <w:rPr>
          <w:sz w:val="20"/>
          <w:szCs w:val="20"/>
          <w:color w:val="auto"/>
        </w:rPr>
      </w:pPr>
      <w:r>
        <w:rPr>
          <w:rFonts w:ascii="Arial" w:cs="Arial" w:eastAsia="Arial" w:hAnsi="Arial"/>
          <w:sz w:val="18"/>
          <w:szCs w:val="18"/>
          <w:color w:val="auto"/>
        </w:rPr>
        <w:t>We are offering 19,230,769 shares of our common stock.</w:t>
      </w:r>
    </w:p>
    <w:p>
      <w:pPr>
        <w:spacing w:after="0" w:line="225" w:lineRule="exact"/>
        <w:rPr>
          <w:sz w:val="24"/>
          <w:szCs w:val="24"/>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“CRBU.” On July 13, 2023, the last reported sale price of our common stock on The Nasdaq Global Select Market was $8.14 per share.</w:t>
      </w:r>
    </w:p>
    <w:p>
      <w:pPr>
        <w:spacing w:after="0" w:line="162" w:lineRule="exact"/>
        <w:rPr>
          <w:sz w:val="24"/>
          <w:szCs w:val="24"/>
          <w:color w:val="auto"/>
        </w:rPr>
      </w:pPr>
    </w:p>
    <w:p>
      <w:pPr>
        <w:ind w:left="120" w:right="140" w:firstLine="440"/>
        <w:spacing w:after="0" w:line="248" w:lineRule="auto"/>
        <w:rPr>
          <w:sz w:val="20"/>
          <w:szCs w:val="20"/>
          <w:color w:val="auto"/>
        </w:rPr>
      </w:pPr>
      <w:r>
        <w:rPr>
          <w:rFonts w:ascii="Arial" w:cs="Arial" w:eastAsia="Arial" w:hAnsi="Arial"/>
          <w:sz w:val="20"/>
          <w:szCs w:val="20"/>
          <w:b w:val="1"/>
          <w:bCs w:val="1"/>
          <w:color w:val="auto"/>
        </w:rPr>
        <w:t>Investing in our securities involves a high degree of risk. See “</w:t>
      </w:r>
      <w:r>
        <w:rPr>
          <w:rFonts w:ascii="Arial" w:cs="Arial" w:eastAsia="Arial" w:hAnsi="Arial"/>
          <w:sz w:val="20"/>
          <w:szCs w:val="20"/>
          <w:b w:val="1"/>
          <w:bCs w:val="1"/>
          <w:u w:val="single" w:color="auto"/>
          <w:color w:val="0000EE"/>
        </w:rPr>
        <w:t>Risk Factors</w:t>
      </w:r>
      <w:r>
        <w:rPr>
          <w:rFonts w:ascii="Arial" w:cs="Arial" w:eastAsia="Arial" w:hAnsi="Arial"/>
          <w:sz w:val="20"/>
          <w:szCs w:val="20"/>
          <w:b w:val="1"/>
          <w:bCs w:val="1"/>
          <w:color w:val="auto"/>
        </w:rPr>
        <w:t>” on page S-9 of this prospectus supplement, page 8 of the accompanying prospectus, and the “Risk Factors” section contained in the documents incorporated by reference in this prospectus supplement and the accompanying prospectus, and any free writing prospectus that we have authorized for use in connection with this offering, before investing in our securities.</w:t>
      </w:r>
    </w:p>
    <w:p>
      <w:pPr>
        <w:spacing w:after="0" w:line="188" w:lineRule="exact"/>
        <w:rPr>
          <w:sz w:val="24"/>
          <w:szCs w:val="24"/>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We are an “emerging growth company” and a “smaller reporting company” under applicable Securities and Exchange Commission rules and, as such, are eligible for reduced public company reporting requirements. See “Prospectus Supplement Summary—Implications of Being an Emerging Growth Company and a Smaller Reporting Company” for more information.</w:t>
      </w:r>
    </w:p>
    <w:p>
      <w:pPr>
        <w:spacing w:after="0" w:line="186"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Per Share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Common Stock</w:t>
            </w:r>
          </w:p>
        </w:tc>
        <w:tc>
          <w:tcPr>
            <w:tcW w:w="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17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124,999,999</w:t>
            </w:r>
          </w:p>
        </w:tc>
        <w:tc>
          <w:tcPr>
            <w:tcW w:w="0" w:type="dxa"/>
            <w:vAlign w:val="bottom"/>
          </w:tcPr>
          <w:p>
            <w:pPr>
              <w:spacing w:after="0"/>
              <w:rPr>
                <w:sz w:val="1"/>
                <w:szCs w:val="1"/>
                <w:color w:val="auto"/>
              </w:rPr>
            </w:pPr>
          </w:p>
        </w:tc>
      </w:tr>
      <w:tr>
        <w:trPr>
          <w:trHeight w:val="216"/>
        </w:trPr>
        <w:tc>
          <w:tcPr>
            <w:tcW w:w="4760" w:type="dxa"/>
            <w:vAlign w:val="bottom"/>
          </w:tcPr>
          <w:p>
            <w:pPr>
              <w:spacing w:after="0" w:line="216" w:lineRule="exact"/>
              <w:rPr>
                <w:sz w:val="20"/>
                <w:szCs w:val="20"/>
                <w:color w:val="auto"/>
              </w:rPr>
            </w:pPr>
            <w:r>
              <w:rPr>
                <w:rFonts w:ascii="Arial" w:cs="Arial" w:eastAsia="Arial" w:hAnsi="Arial"/>
                <w:sz w:val="17"/>
                <w:szCs w:val="17"/>
                <w:color w:val="auto"/>
              </w:rPr>
              <w:t>Underwriting discount and commissions</w:t>
            </w:r>
            <w:r>
              <w:rPr>
                <w:rFonts w:ascii="Arial" w:cs="Arial" w:eastAsia="Arial" w:hAnsi="Arial"/>
                <w:sz w:val="25"/>
                <w:szCs w:val="25"/>
                <w:color w:val="auto"/>
                <w:vertAlign w:val="superscript"/>
              </w:rPr>
              <w:t>(1)</w:t>
            </w:r>
          </w:p>
        </w:tc>
        <w:tc>
          <w:tcPr>
            <w:tcW w:w="1780" w:type="dxa"/>
            <w:vAlign w:val="bottom"/>
            <w:gridSpan w:val="2"/>
          </w:tcPr>
          <w:p>
            <w:pPr>
              <w:ind w:left="16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7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117,499,999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4"/>
          <w:szCs w:val="24"/>
          <w:color w:val="auto"/>
        </w:rPr>
      </w:pPr>
    </w:p>
    <w:p>
      <w:pPr>
        <w:ind w:left="560" w:hanging="444"/>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25" w:lineRule="exact"/>
        <w:rPr>
          <w:sz w:val="24"/>
          <w:szCs w:val="24"/>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have granted the underwriters the right to purchase up to 2,884,615 additional shares of our common stock from us at the public offering price, less the underwriting discounts and commissions, within 30 days from the date of this prospectus supplement.</w:t>
      </w:r>
    </w:p>
    <w:p>
      <w:pPr>
        <w:spacing w:after="0" w:line="166" w:lineRule="exact"/>
        <w:rPr>
          <w:sz w:val="24"/>
          <w:szCs w:val="24"/>
          <w:color w:val="auto"/>
        </w:rPr>
      </w:pPr>
    </w:p>
    <w:p>
      <w:pPr>
        <w:ind w:left="120" w:right="160" w:firstLine="44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16"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The underwriters expect to deliver the shares to purchasers on or about July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234" w:lineRule="exact"/>
        <w:rPr>
          <w:sz w:val="24"/>
          <w:szCs w:val="24"/>
          <w:color w:val="auto"/>
        </w:rPr>
      </w:pPr>
    </w:p>
    <w:p>
      <w:pPr>
        <w:ind w:left="120"/>
        <w:spacing w:after="0"/>
        <w:tabs>
          <w:tab w:leader="none" w:pos="3660" w:val="left"/>
          <w:tab w:leader="none" w:pos="6540" w:val="left"/>
          <w:tab w:leader="none" w:pos="8920" w:val="left"/>
        </w:tabs>
        <w:rPr>
          <w:sz w:val="20"/>
          <w:szCs w:val="20"/>
          <w:color w:val="auto"/>
        </w:rPr>
      </w:pPr>
      <w:r>
        <w:rPr>
          <w:rFonts w:ascii="Arial" w:cs="Arial" w:eastAsia="Arial" w:hAnsi="Arial"/>
          <w:sz w:val="23"/>
          <w:szCs w:val="23"/>
          <w:b w:val="1"/>
          <w:bCs w:val="1"/>
          <w:color w:val="auto"/>
        </w:rPr>
        <w:t>BofA Securities</w:t>
      </w:r>
      <w:r>
        <w:rPr>
          <w:sz w:val="20"/>
          <w:szCs w:val="20"/>
          <w:color w:val="auto"/>
        </w:rPr>
        <w:tab/>
      </w:r>
      <w:r>
        <w:rPr>
          <w:rFonts w:ascii="Arial" w:cs="Arial" w:eastAsia="Arial" w:hAnsi="Arial"/>
          <w:sz w:val="23"/>
          <w:szCs w:val="23"/>
          <w:b w:val="1"/>
          <w:bCs w:val="1"/>
          <w:color w:val="auto"/>
        </w:rPr>
        <w:t>Leerink Partners</w:t>
      </w:r>
      <w:r>
        <w:rPr>
          <w:sz w:val="20"/>
          <w:szCs w:val="20"/>
          <w:color w:val="auto"/>
        </w:rPr>
        <w:tab/>
      </w:r>
      <w:r>
        <w:rPr>
          <w:rFonts w:ascii="Arial" w:cs="Arial" w:eastAsia="Arial" w:hAnsi="Arial"/>
          <w:sz w:val="23"/>
          <w:szCs w:val="23"/>
          <w:b w:val="1"/>
          <w:bCs w:val="1"/>
          <w:color w:val="auto"/>
        </w:rPr>
        <w:t>Evercore ISI</w:t>
      </w:r>
      <w:r>
        <w:rPr>
          <w:sz w:val="20"/>
          <w:szCs w:val="20"/>
          <w:color w:val="auto"/>
        </w:rPr>
        <w:tab/>
      </w:r>
      <w:r>
        <w:rPr>
          <w:rFonts w:ascii="Arial" w:cs="Arial" w:eastAsia="Arial" w:hAnsi="Arial"/>
          <w:sz w:val="22"/>
          <w:szCs w:val="22"/>
          <w:b w:val="1"/>
          <w:bCs w:val="1"/>
          <w:color w:val="auto"/>
        </w:rPr>
        <w:t>RBC Capital Markets</w:t>
      </w:r>
    </w:p>
    <w:p>
      <w:pPr>
        <w:spacing w:after="0" w:line="27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supplement is July 13, 2023</w:t>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8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w w:val="98"/>
              </w:rPr>
              <w:t>TABLE OF CONTENTS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80" w:type="dxa"/>
            <w:vAlign w:val="bottom"/>
            <w:gridSpan w:val="2"/>
          </w:tcPr>
          <w:p>
            <w:pPr>
              <w:jc w:val="center"/>
              <w:ind w:right="3420"/>
              <w:spacing w:after="0"/>
              <w:rPr>
                <w:sz w:val="20"/>
                <w:szCs w:val="20"/>
                <w:color w:val="auto"/>
              </w:rPr>
            </w:pPr>
            <w:r>
              <w:rPr>
                <w:rFonts w:ascii="Arial" w:cs="Arial" w:eastAsia="Arial" w:hAnsi="Arial"/>
                <w:sz w:val="18"/>
                <w:szCs w:val="18"/>
                <w:b w:val="1"/>
                <w:bCs w:val="1"/>
                <w:color w:val="auto"/>
                <w:w w:val="97"/>
              </w:rPr>
              <w:t>PROSPECTUS SUPPLEMENT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540" w:type="dxa"/>
            <w:vAlign w:val="bottom"/>
            <w:gridSpan w:val="19"/>
            <w:vMerge w:val="restart"/>
          </w:tcPr>
          <w:p>
            <w:pPr>
              <w:spacing w:after="0"/>
              <w:rPr>
                <w:sz w:val="20"/>
                <w:szCs w:val="20"/>
                <w:color w:val="auto"/>
              </w:rPr>
            </w:pPr>
            <w:r>
              <w:rPr>
                <w:rFonts w:ascii="Arial" w:cs="Arial" w:eastAsia="Arial" w:hAnsi="Arial"/>
                <w:sz w:val="18"/>
                <w:szCs w:val="18"/>
                <w:color w:val="0000EE"/>
                <w:w w:val="89"/>
              </w:rPr>
              <w:t>About This Prospectus Supplement</w:t>
            </w:r>
          </w:p>
        </w:tc>
        <w:tc>
          <w:tcPr>
            <w:tcW w:w="8020" w:type="dxa"/>
            <w:vAlign w:val="bottom"/>
            <w:gridSpan w:val="6"/>
            <w:vMerge w:val="restart"/>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0"/>
        </w:trPr>
        <w:tc>
          <w:tcPr>
            <w:tcW w:w="2540" w:type="dxa"/>
            <w:vAlign w:val="bottom"/>
            <w:tcBorders>
              <w:bottom w:val="single" w:sz="8" w:color="0000EE"/>
            </w:tcBorders>
            <w:gridSpan w:val="19"/>
            <w:vMerge w:val="continue"/>
          </w:tcPr>
          <w:p>
            <w:pPr>
              <w:spacing w:after="0"/>
              <w:rPr>
                <w:sz w:val="15"/>
                <w:szCs w:val="15"/>
                <w:color w:val="auto"/>
              </w:rPr>
            </w:pPr>
          </w:p>
        </w:tc>
        <w:tc>
          <w:tcPr>
            <w:tcW w:w="802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8"/>
                <w:szCs w:val="18"/>
                <w:color w:val="auto"/>
                <w:w w:val="99"/>
              </w:rPr>
              <w:t>S-ii</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0"/>
              </w:rPr>
              <w:t>Special Note Regarding Forward-Looking Statements</w:t>
            </w:r>
          </w:p>
        </w:tc>
        <w:tc>
          <w:tcPr>
            <w:tcW w:w="6680" w:type="dxa"/>
            <w:vAlign w:val="bottom"/>
            <w:gridSpan w:val="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Arial" w:cs="Arial" w:eastAsia="Arial" w:hAnsi="Arial"/>
                <w:sz w:val="18"/>
                <w:szCs w:val="18"/>
                <w:color w:val="0000EE"/>
              </w:rPr>
              <w:t>Industry and Market Data</w:t>
            </w:r>
          </w:p>
        </w:tc>
        <w:tc>
          <w:tcPr>
            <w:tcW w:w="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6"/>
              </w:rPr>
              <w:t>S-v</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Arial" w:cs="Arial" w:eastAsia="Arial" w:hAnsi="Arial"/>
                <w:sz w:val="18"/>
                <w:szCs w:val="18"/>
                <w:color w:val="0000EE"/>
              </w:rPr>
              <w:t>Prospectus Supplement Summary</w:t>
            </w:r>
          </w:p>
        </w:tc>
        <w:tc>
          <w:tcPr>
            <w:tcW w:w="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The Offering</w:t>
            </w:r>
          </w:p>
        </w:tc>
        <w:tc>
          <w:tcPr>
            <w:tcW w:w="1480" w:type="dxa"/>
            <w:vAlign w:val="bottom"/>
            <w:tcBorders>
              <w:top w:val="single" w:sz="8" w:color="0000EE"/>
            </w:tcBorders>
            <w:gridSpan w:val="14"/>
          </w:tcPr>
          <w:p>
            <w:pPr>
              <w:spacing w:after="0"/>
              <w:rPr>
                <w:sz w:val="17"/>
                <w:szCs w:val="17"/>
                <w:color w:val="auto"/>
              </w:rPr>
            </w:pPr>
          </w:p>
        </w:tc>
        <w:tc>
          <w:tcPr>
            <w:tcW w:w="814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Arial" w:cs="Arial" w:eastAsia="Arial" w:hAnsi="Arial"/>
                <w:sz w:val="18"/>
                <w:szCs w:val="18"/>
                <w:color w:val="0000EE"/>
              </w:rPr>
              <w:t>Risk Factors</w:t>
            </w:r>
          </w:p>
        </w:tc>
        <w:tc>
          <w:tcPr>
            <w:tcW w:w="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2"/>
              </w:rPr>
              <w:t>S-9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Arial" w:cs="Arial" w:eastAsia="Arial" w:hAnsi="Arial"/>
                <w:sz w:val="18"/>
                <w:szCs w:val="18"/>
                <w:color w:val="0000EE"/>
              </w:rPr>
              <w:t>Use of Proceeds</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Dividend Policy</w:t>
            </w:r>
          </w:p>
        </w:tc>
        <w:tc>
          <w:tcPr>
            <w:tcW w:w="9380" w:type="dxa"/>
            <w:vAlign w:val="bottom"/>
            <w:gridSpan w:val="17"/>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6"/>
              </w:rPr>
              <w:t>Dilution</w:t>
            </w:r>
          </w:p>
        </w:tc>
        <w:tc>
          <w:tcPr>
            <w:tcW w:w="9960" w:type="dxa"/>
            <w:vAlign w:val="bottom"/>
            <w:gridSpan w:val="23"/>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Arial" w:cs="Arial" w:eastAsia="Arial" w:hAnsi="Arial"/>
                <w:sz w:val="18"/>
                <w:szCs w:val="18"/>
                <w:color w:val="0000EE"/>
              </w:rPr>
              <w:t>Material U.S. Federal Income Tax Considerations for Investors in Our Common Stock that are Non-U.S. Holders</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814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8"/>
                <w:szCs w:val="18"/>
                <w:color w:val="0000EE"/>
              </w:rPr>
              <w:t>Underwriting</w:t>
            </w:r>
          </w:p>
        </w:tc>
        <w:tc>
          <w:tcPr>
            <w:tcW w:w="242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Arial" w:cs="Arial" w:eastAsia="Arial" w:hAnsi="Arial"/>
                <w:sz w:val="18"/>
                <w:szCs w:val="18"/>
                <w:color w:val="0000EE"/>
              </w:rPr>
              <w:t>Legal Matters</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Experts</w:t>
            </w:r>
          </w:p>
        </w:tc>
        <w:tc>
          <w:tcPr>
            <w:tcW w:w="9560" w:type="dxa"/>
            <w:vAlign w:val="bottom"/>
            <w:gridSpan w:val="19"/>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Arial" w:cs="Arial" w:eastAsia="Arial" w:hAnsi="Arial"/>
                <w:sz w:val="18"/>
                <w:szCs w:val="18"/>
                <w:color w:val="0000EE"/>
              </w:rPr>
              <w:t>Where You Can Find Additional Information</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196"/>
        </w:trPr>
        <w:tc>
          <w:tcPr>
            <w:tcW w:w="322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6"/>
              </w:rPr>
              <w:t>Information We Incorporate By Reference</w:t>
            </w:r>
          </w:p>
        </w:tc>
        <w:tc>
          <w:tcPr>
            <w:tcW w:w="7340" w:type="dxa"/>
            <w:vAlign w:val="bottom"/>
            <w:gridSpan w:val="3"/>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S-29</w:t>
            </w:r>
          </w:p>
        </w:tc>
        <w:tc>
          <w:tcPr>
            <w:tcW w:w="0" w:type="dxa"/>
            <w:vAlign w:val="bottom"/>
          </w:tcPr>
          <w:p>
            <w:pPr>
              <w:spacing w:after="0"/>
              <w:rPr>
                <w:sz w:val="1"/>
                <w:szCs w:val="1"/>
                <w:color w:val="auto"/>
              </w:rPr>
            </w:pPr>
          </w:p>
        </w:tc>
      </w:tr>
      <w:tr>
        <w:trPr>
          <w:trHeight w:val="669"/>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8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w w:val="96"/>
              </w:rPr>
              <w:t>PROSPECTUS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40" w:type="dxa"/>
            <w:vAlign w:val="bottom"/>
            <w:gridSpan w:val="12"/>
            <w:vMerge w:val="restart"/>
          </w:tcPr>
          <w:p>
            <w:pPr>
              <w:spacing w:after="0"/>
              <w:rPr>
                <w:sz w:val="20"/>
                <w:szCs w:val="20"/>
                <w:color w:val="auto"/>
              </w:rPr>
            </w:pPr>
            <w:r>
              <w:rPr>
                <w:rFonts w:ascii="Arial" w:cs="Arial" w:eastAsia="Arial" w:hAnsi="Arial"/>
                <w:sz w:val="18"/>
                <w:szCs w:val="18"/>
                <w:color w:val="0000EE"/>
                <w:w w:val="89"/>
              </w:rPr>
              <w:t>About This Prospectus</w:t>
            </w:r>
          </w:p>
        </w:tc>
        <w:tc>
          <w:tcPr>
            <w:tcW w:w="8920" w:type="dxa"/>
            <w:vAlign w:val="bottom"/>
            <w:gridSpan w:val="13"/>
            <w:vMerge w:val="restart"/>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1"/>
        </w:trPr>
        <w:tc>
          <w:tcPr>
            <w:tcW w:w="1640" w:type="dxa"/>
            <w:vAlign w:val="bottom"/>
            <w:tcBorders>
              <w:bottom w:val="single" w:sz="8" w:color="0000EE"/>
            </w:tcBorders>
            <w:gridSpan w:val="12"/>
            <w:vMerge w:val="continue"/>
          </w:tcPr>
          <w:p>
            <w:pPr>
              <w:spacing w:after="0"/>
              <w:rPr>
                <w:sz w:val="15"/>
                <w:szCs w:val="15"/>
                <w:color w:val="auto"/>
              </w:rPr>
            </w:pPr>
          </w:p>
        </w:tc>
        <w:tc>
          <w:tcPr>
            <w:tcW w:w="8920" w:type="dxa"/>
            <w:vAlign w:val="bottom"/>
            <w:gridSpan w:val="13"/>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Arial" w:cs="Arial" w:eastAsia="Arial" w:hAnsi="Arial"/>
                <w:sz w:val="18"/>
                <w:szCs w:val="18"/>
                <w:color w:val="0000EE"/>
              </w:rPr>
              <w:t>Where You Can Find Additional Information</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22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6"/>
              </w:rPr>
              <w:t>Information We Incorporate by Reference</w:t>
            </w:r>
          </w:p>
        </w:tc>
        <w:tc>
          <w:tcPr>
            <w:tcW w:w="7340" w:type="dxa"/>
            <w:vAlign w:val="bottom"/>
            <w:gridSpan w:val="3"/>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42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56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0"/>
              </w:rPr>
              <w:t>Special Note Regarding Forward-Looking Statements</w:t>
            </w:r>
          </w:p>
        </w:tc>
        <w:tc>
          <w:tcPr>
            <w:tcW w:w="6680" w:type="dxa"/>
            <w:vAlign w:val="bottom"/>
            <w:gridSpan w:val="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About Caribou Biosciences, Inc.</w:t>
            </w:r>
          </w:p>
        </w:tc>
        <w:tc>
          <w:tcPr>
            <w:tcW w:w="8220" w:type="dxa"/>
            <w:vAlign w:val="bottom"/>
            <w:gridSpan w:val="8"/>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Arial" w:cs="Arial" w:eastAsia="Arial" w:hAnsi="Arial"/>
                <w:sz w:val="18"/>
                <w:szCs w:val="18"/>
                <w:color w:val="0000EE"/>
              </w:rPr>
              <w:t>Risk Factors</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Arial" w:cs="Arial" w:eastAsia="Arial" w:hAnsi="Arial"/>
                <w:sz w:val="18"/>
                <w:szCs w:val="18"/>
                <w:color w:val="0000EE"/>
              </w:rPr>
              <w:t>Use of Proceeds</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160" w:type="dxa"/>
            <w:vAlign w:val="bottom"/>
            <w:gridSpan w:val="7"/>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42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8380" w:type="dxa"/>
            <w:vAlign w:val="bottom"/>
            <w:gridSpan w:val="9"/>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Description of Warrants</w:t>
            </w:r>
          </w:p>
        </w:tc>
        <w:tc>
          <w:tcPr>
            <w:tcW w:w="8840" w:type="dxa"/>
            <w:vAlign w:val="bottom"/>
            <w:gridSpan w:val="1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Arial" w:cs="Arial" w:eastAsia="Arial" w:hAnsi="Arial"/>
                <w:sz w:val="18"/>
                <w:szCs w:val="18"/>
                <w:color w:val="0000EE"/>
              </w:rPr>
              <w:t>Description of Rights</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5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7"/>
              </w:rPr>
              <w:t>Description of Units</w:t>
            </w:r>
          </w:p>
        </w:tc>
        <w:tc>
          <w:tcPr>
            <w:tcW w:w="9020" w:type="dxa"/>
            <w:vAlign w:val="bottom"/>
            <w:gridSpan w:val="14"/>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5"/>
              </w:rPr>
              <w:t>Plan of Distribution</w:t>
            </w:r>
          </w:p>
        </w:tc>
        <w:tc>
          <w:tcPr>
            <w:tcW w:w="9100" w:type="dxa"/>
            <w:vAlign w:val="bottom"/>
            <w:gridSpan w:val="15"/>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Legal Matters</w:t>
            </w:r>
          </w:p>
        </w:tc>
        <w:tc>
          <w:tcPr>
            <w:tcW w:w="9140" w:type="dxa"/>
            <w:vAlign w:val="bottom"/>
            <w:gridSpan w:val="16"/>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Experts</w:t>
            </w:r>
          </w:p>
        </w:tc>
        <w:tc>
          <w:tcPr>
            <w:tcW w:w="9560" w:type="dxa"/>
            <w:vAlign w:val="bottom"/>
            <w:gridSpan w:val="19"/>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00"/>
          </w:cols>
          <w:pgMar w:left="320" w:top="675"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document is in two parts. The first part is this prospectus supplement, including the documents incorporated by reference, which describes the specific terms of this offering and the securities offered hereby, and also adds to and updates information contained in the accompanying prospectus and the documents incorporated into each by reference. The second part, the accompanying prospectus, including the documents incorporated by reference therein, gives more general information and disclosure, some of which may not apply to this offering. When we refer to the “prospectus,” we are referring to both parts combined. Any free writing prospectus we authorize for use in connection with this offering may add to, update, or change information in this prospectus supplement and the documents incorporated by reference into this prospectus supplement or the accompanying prospectus and the documents incorporated by reference into the accompanying prospectus.</w:t>
      </w:r>
    </w:p>
    <w:p>
      <w:pPr>
        <w:spacing w:after="0" w:line="177"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If there is any inconsistency between information in or incorporated by reference into the accompanying prospectus and information in or incorporated by reference into this prospectus supplement, you should rely only on the information contained in or incorporated by reference into this prospectus supplement. This prospectus supplement, the accompanying prospectus, and the documents incorporated into each by reference include important information about us, the securities being offered and other information you should know before investing. You should read this prospectus supplement and the accompanying prospectus together with the additional information described under the heading “Where You Can Find Additional Information” and “Information We Incorporate by Reference” before investing in our securities.</w:t>
      </w:r>
    </w:p>
    <w:p>
      <w:pPr>
        <w:spacing w:after="0" w:line="17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You should not consider any information in this prospectus supplement, the accompanying prospectus or the documents incorporated by reference therein, to be investment, legal or tax advice. You should consult your own counsel, accountants, and other advisers for legal, tax, business, financial, and related advice regarding the purchase of the securities offered by this prospectus supplement.</w:t>
      </w:r>
    </w:p>
    <w:p>
      <w:pPr>
        <w:spacing w:after="0" w:line="16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This prospectus supplement is part of a registration statement on Form S-3 that we filed with the Securities and Exchange Commission (the “SEC”) using a “shelf” registration process. Under this shelf registration process, we may from time to time sell shares of our common stock or other securities having an aggregate offering price of up to $400,000,000 at prices and on terms to be determined by market conditions at the time of the offering.</w:t>
      </w:r>
    </w:p>
    <w:p>
      <w:pPr>
        <w:spacing w:after="0" w:line="18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representations other than those contained in this prospectus supplement and the accompanying prospectus, the documents incorporated by reference herein or therein or in any free writing prospectuses prepared by us or on our behalf or to which we have referred you. We and the underwriters take no responsibility for, and can provide no assurance as to the reliability of, any other information that others may give you. If anyone provides you with different or inconsistent information, you should not rely on it. You should assume that the information appearing in this prospectus supplement, the accompanying prospectus, and the documents incorporated into each by reference is accurate only as of the respective dates of the applicable documents. Our business, financial condition, results of operations, and prospects may have changed since those dates.</w:t>
      </w:r>
    </w:p>
    <w:p>
      <w:pPr>
        <w:spacing w:after="0" w:line="17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w:t>
      </w:r>
    </w:p>
    <w:p>
      <w:pPr>
        <w:spacing w:after="0" w:line="16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are not making offers to sell the securities described in this prospectus supplement and the accompanying prospectus in any jurisdiction in which an offer or solicitation is not authorized or in which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675"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person making such offer or solicitation is not qualified to do so or to anyone to whom it is unlawful to make an offer or solicitation.</w:t>
      </w:r>
    </w:p>
    <w:p>
      <w:pPr>
        <w:spacing w:after="0" w:line="22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References in this prospectus to the terms “we,” “us,” “our,” “the Company,” or other similar terms refer to Caribou Biosciences, Inc., a Delaware corporation, together with its consolidated subsidiaries.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080"/>
          </w:cols>
          <w:pgMar w:left="320" w:top="675"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contain forward-looking statements within the meaning of the Private Securities Litigation Reform Act. All statements other than statements of historical facts contained in this prospectus, or incorporated by reference herein, including: statements regarding our business strategy, plans, and objectives; expectations regarding our clinical and preclinical development programs, including our timing expectations with respect to such programs and the expected timing of disclosure of data from such programs; future regulatory filings; our results of operations and financial position; plans and objectives of management for future operations; and the like,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86" w:lineRule="exact"/>
        <w:rPr>
          <w:sz w:val="20"/>
          <w:szCs w:val="20"/>
          <w:color w:val="auto"/>
        </w:rPr>
      </w:pPr>
    </w:p>
    <w:p>
      <w:pPr>
        <w:ind w:left="1100" w:right="40" w:hanging="433"/>
        <w:spacing w:after="0" w:line="275" w:lineRule="auto"/>
        <w:tabs>
          <w:tab w:leader="none" w:pos="11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expectations regarding the initiation, timing, progress, strategy, plans, objectives, and expectations (including as to results) with respect to our product candidate preclinical studies, clinical trials, and research programs including, without limitation, our expectations, timing, status, and progress regarding the release of clinical data or additional clinical data from our ANTLER phase 1 clinical trial for our CB-010 product candidate and our ongoing CaMMouflage phase 1 clinical trial for our CB-011 product candidate, as well as our expectations relating to the submission of our IND application for our CB-012 product candidate;</w:t>
      </w:r>
    </w:p>
    <w:p>
      <w:pPr>
        <w:spacing w:after="0" w:line="81" w:lineRule="exact"/>
        <w:rPr>
          <w:rFonts w:ascii="Arial" w:cs="Arial" w:eastAsia="Arial" w:hAnsi="Arial"/>
          <w:sz w:val="17"/>
          <w:szCs w:val="17"/>
          <w:color w:val="auto"/>
        </w:rPr>
      </w:pPr>
    </w:p>
    <w:p>
      <w:pPr>
        <w:ind w:left="1100" w:hanging="43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ability to demonstrate, and the timing of, preclinical proof-of-concept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for our product candidates;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develop our product candidates and to obtain and maintain regulatory approval for our product candidates;</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and type of diseases, indications, and applications we intend to pursue for our product candidates;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likelihood of our clinical trials demonstrating safety and efficacy of our product candidates;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beneficial characteristics, safety, efficacy, therapeutic effects, and potential advantages of our product candidates;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timing or likelihood of regulatory filings and approval for our product candidates;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strategic plans for our business, product candidates, research programs, and technologies;</w:t>
      </w:r>
    </w:p>
    <w:p>
      <w:pPr>
        <w:spacing w:after="0" w:line="130" w:lineRule="exact"/>
        <w:rPr>
          <w:rFonts w:ascii="Arial" w:cs="Arial" w:eastAsia="Arial" w:hAnsi="Arial"/>
          <w:sz w:val="18"/>
          <w:szCs w:val="18"/>
          <w:color w:val="auto"/>
        </w:rPr>
      </w:pPr>
    </w:p>
    <w:p>
      <w:pPr>
        <w:ind w:left="1100" w:right="120" w:hanging="433"/>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genome-editing technology;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anticipated developments related to our competitors and our industry;</w:t>
      </w:r>
    </w:p>
    <w:p>
      <w:pPr>
        <w:spacing w:after="0" w:line="130" w:lineRule="exact"/>
        <w:rPr>
          <w:rFonts w:ascii="Arial" w:cs="Arial" w:eastAsia="Arial" w:hAnsi="Arial"/>
          <w:sz w:val="18"/>
          <w:szCs w:val="18"/>
          <w:color w:val="auto"/>
        </w:rPr>
      </w:pPr>
    </w:p>
    <w:p>
      <w:pPr>
        <w:ind w:left="1100" w:right="720" w:hanging="433"/>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and anticipated use of our existing capital resources to fund our future operating expenses and capital expenditure requirements and needs for additional financing;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anticipated use of net proceeds from this offering.</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forward-looking statements in this prospectus supplement, the accompanying prospectus, any free-writing prospectus, and the documents incorporated by reference herein and therein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prospectus supplement, the accompanying prospectus, or any free writing prospectus is accurate only as of the date on its respective cover, and that any information incorporated by reference is accurate only as of the date of the document incorporated by reference, and are subject to a number of known and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20"/>
          </w:cols>
          <w:pgMar w:left="320" w:top="675"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unknown risks, uncertainties, and assumptions, including those described in “Risk Factors” in this prospectus supplement and elsewhere in this prospectus supplement, the accompanying prospectus or in the documents incorporated by reference herein and therein. Because forward-looking statements are inherently subject to risks and uncertainties, some of which cannot be predicted or quantified and some of which are beyond our control, you should not rely on these forward-looking statements as assurances of future events. The events and circumstances reflected in our forward-looking statements may not be achieved or may not occur and actual results could differ materially from those projected in the forward-looking statements.</w:t>
      </w:r>
    </w:p>
    <w:p>
      <w:pPr>
        <w:spacing w:after="0" w:line="16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Moreover, we operate in a very competitive and rapidly evolving environment. These factors should not be construed as exhaustive and should be read in conjunction with the other cautionary statements that are included in this prospectus supplement, the accompanying prospectus, and the documents incorporated herein and therein by reference. New risk factors and uncertainties may emerge from time to time, and it is not possible for management to predict all risk factors and uncertainties. Except as required by applicable law, we do not plan to publicly update or revise any forward-looking statements contained, or incorporated by reference, herein and therein, whether as a result of any new information, future events, changed circumstances, or otherwise.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Unless otherwise indicated, information contained in this prospectus supplement, the accompanying prospectus, any free-writing prospectus, and the documents incorporated by reference herein and therein concerning our industry and the markets in which we operate, including our general expectations about our product candidates, market position, market opportunity, market size, and the incidence of certain medical conditions, and information about clinical trials and products from other companies, is based on industry information and other third-party sources. Our estimates of the potential market opportunities for our product candidates include a number of key assumptions based on our industry knowledge and industry publications, which we believe to be reasonable. However, any projections, assumptions, and estimates of our future performance and the future performance of the industry in which we operate are necessarily subject to risks and uncertainties due to a variety of factors, including those described in “Risk Factors” and elsewhere in this prospectus supplement, the accompanying prospectus or in the documents incorporated by reference herein and therein. These and other factors could cause results to differ materially from those expressed in the estimates made by independent third parties and by 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120"/>
          </w:cols>
          <w:pgMar w:left="320" w:top="675"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elsewhere in this prospectus supplement, the accompanying prospectus, and in the documents we incorporate by reference. This summary does not contain all of the information you should consider before making an investment decision in our securities. You should read this entire prospectus supplement and the accompanying prospectus carefully, including the information incorporated by reference in this prospectus supplement and the accompanying prospectus, and the information included in any free writing prospectus that we have authorized for use in connection with this offering, especially the risks of investing in our common stock discussed under “Risk Factors” beginning on page S-9 of this prospectus supplement, and the risk factors, consolidated financial statements and related notes and other information incorporated by reference in this prospectus supplement and the accompanying prospectus.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w:t>
      </w:r>
    </w:p>
    <w:p>
      <w:pPr>
        <w:spacing w:after="0" w:line="117" w:lineRule="exact"/>
        <w:rPr>
          <w:sz w:val="20"/>
          <w:szCs w:val="20"/>
          <w:color w:val="auto"/>
        </w:rPr>
      </w:pPr>
    </w:p>
    <w:p>
      <w:pPr>
        <w:ind w:left="300" w:firstLine="426"/>
        <w:spacing w:after="0" w:line="298" w:lineRule="auto"/>
        <w:rPr>
          <w:sz w:val="20"/>
          <w:szCs w:val="20"/>
          <w:color w:val="auto"/>
        </w:rPr>
      </w:pPr>
      <w:r>
        <w:rPr>
          <w:rFonts w:ascii="Arial" w:cs="Arial" w:eastAsia="Arial" w:hAnsi="Arial"/>
          <w:sz w:val="16"/>
          <w:szCs w:val="16"/>
          <w:color w:val="auto"/>
        </w:rPr>
        <w:t xml:space="preserve">We are a clinical-stage </w:t>
      </w:r>
      <w:r>
        <w:rPr>
          <w:rFonts w:ascii="Arial" w:cs="Arial" w:eastAsia="Arial" w:hAnsi="Arial"/>
          <w:sz w:val="16"/>
          <w:szCs w:val="16"/>
          <w:b w:val="1"/>
          <w:bCs w:val="1"/>
          <w:color w:val="auto"/>
        </w:rPr>
        <w:t>C</w:t>
      </w:r>
      <w:r>
        <w:rPr>
          <w:rFonts w:ascii="Arial" w:cs="Arial" w:eastAsia="Arial" w:hAnsi="Arial"/>
          <w:sz w:val="16"/>
          <w:szCs w:val="16"/>
          <w:color w:val="auto"/>
        </w:rPr>
        <w:t xml:space="preserve">lustered </w:t>
      </w:r>
      <w:r>
        <w:rPr>
          <w:rFonts w:ascii="Arial" w:cs="Arial" w:eastAsia="Arial" w:hAnsi="Arial"/>
          <w:sz w:val="16"/>
          <w:szCs w:val="16"/>
          <w:b w:val="1"/>
          <w:bCs w:val="1"/>
          <w:color w:val="auto"/>
        </w:rPr>
        <w:t>R</w:t>
      </w:r>
      <w:r>
        <w:rPr>
          <w:rFonts w:ascii="Arial" w:cs="Arial" w:eastAsia="Arial" w:hAnsi="Arial"/>
          <w:sz w:val="16"/>
          <w:szCs w:val="16"/>
          <w:color w:val="auto"/>
        </w:rPr>
        <w:t xml:space="preserve">egularly </w:t>
      </w:r>
      <w:r>
        <w:rPr>
          <w:rFonts w:ascii="Arial" w:cs="Arial" w:eastAsia="Arial" w:hAnsi="Arial"/>
          <w:sz w:val="16"/>
          <w:szCs w:val="16"/>
          <w:b w:val="1"/>
          <w:bCs w:val="1"/>
          <w:color w:val="auto"/>
        </w:rPr>
        <w:t>I</w:t>
      </w:r>
      <w:r>
        <w:rPr>
          <w:rFonts w:ascii="Arial" w:cs="Arial" w:eastAsia="Arial" w:hAnsi="Arial"/>
          <w:sz w:val="16"/>
          <w:szCs w:val="16"/>
          <w:color w:val="auto"/>
        </w:rPr>
        <w:t xml:space="preserve">nterspaced </w:t>
      </w:r>
      <w:r>
        <w:rPr>
          <w:rFonts w:ascii="Arial" w:cs="Arial" w:eastAsia="Arial" w:hAnsi="Arial"/>
          <w:sz w:val="16"/>
          <w:szCs w:val="16"/>
          <w:b w:val="1"/>
          <w:bCs w:val="1"/>
          <w:color w:val="auto"/>
        </w:rPr>
        <w:t>S</w:t>
      </w:r>
      <w:r>
        <w:rPr>
          <w:rFonts w:ascii="Arial" w:cs="Arial" w:eastAsia="Arial" w:hAnsi="Arial"/>
          <w:sz w:val="16"/>
          <w:szCs w:val="16"/>
          <w:color w:val="auto"/>
        </w:rPr>
        <w:t xml:space="preserve">hort </w:t>
      </w:r>
      <w:r>
        <w:rPr>
          <w:rFonts w:ascii="Arial" w:cs="Arial" w:eastAsia="Arial" w:hAnsi="Arial"/>
          <w:sz w:val="16"/>
          <w:szCs w:val="16"/>
          <w:b w:val="1"/>
          <w:bCs w:val="1"/>
          <w:color w:val="auto"/>
        </w:rPr>
        <w:t>P</w:t>
      </w:r>
      <w:r>
        <w:rPr>
          <w:rFonts w:ascii="Arial" w:cs="Arial" w:eastAsia="Arial" w:hAnsi="Arial"/>
          <w:sz w:val="16"/>
          <w:szCs w:val="16"/>
          <w:color w:val="auto"/>
        </w:rPr>
        <w:t xml:space="preserve">alindromic </w:t>
      </w:r>
      <w:r>
        <w:rPr>
          <w:rFonts w:ascii="Arial" w:cs="Arial" w:eastAsia="Arial" w:hAnsi="Arial"/>
          <w:sz w:val="16"/>
          <w:szCs w:val="16"/>
          <w:b w:val="1"/>
          <w:bCs w:val="1"/>
          <w:color w:val="auto"/>
        </w:rPr>
        <w:t>R</w:t>
      </w:r>
      <w:r>
        <w:rPr>
          <w:rFonts w:ascii="Arial" w:cs="Arial" w:eastAsia="Arial" w:hAnsi="Arial"/>
          <w:sz w:val="16"/>
          <w:szCs w:val="16"/>
          <w:color w:val="auto"/>
        </w:rPr>
        <w:t>epeats (“CRISPR”) genome-editing biopharmaceutical company dedicated to developing transformative therapies for patients with devastating diseases. Our genome-editing platform, including our novel chRDNA (</w:t>
      </w:r>
      <w:r>
        <w:rPr>
          <w:rFonts w:ascii="Arial" w:cs="Arial" w:eastAsia="Arial" w:hAnsi="Arial"/>
          <w:sz w:val="16"/>
          <w:szCs w:val="16"/>
          <w:b w:val="1"/>
          <w:bCs w:val="1"/>
          <w:u w:val="single" w:color="auto"/>
          <w:color w:val="auto"/>
        </w:rPr>
        <w:t>C</w:t>
      </w:r>
      <w:r>
        <w:rPr>
          <w:rFonts w:ascii="Arial" w:cs="Arial" w:eastAsia="Arial" w:hAnsi="Arial"/>
          <w:sz w:val="16"/>
          <w:szCs w:val="16"/>
          <w:color w:val="auto"/>
        </w:rPr>
        <w:t xml:space="preserve">RISPR </w:t>
      </w:r>
      <w:r>
        <w:rPr>
          <w:rFonts w:ascii="Arial" w:cs="Arial" w:eastAsia="Arial" w:hAnsi="Arial"/>
          <w:sz w:val="16"/>
          <w:szCs w:val="16"/>
          <w:b w:val="1"/>
          <w:bCs w:val="1"/>
          <w:u w:val="single" w:color="auto"/>
          <w:color w:val="auto"/>
        </w:rPr>
        <w:t>h</w:t>
      </w:r>
      <w:r>
        <w:rPr>
          <w:rFonts w:ascii="Arial" w:cs="Arial" w:eastAsia="Arial" w:hAnsi="Arial"/>
          <w:sz w:val="16"/>
          <w:szCs w:val="16"/>
          <w:color w:val="auto"/>
        </w:rPr>
        <w:t xml:space="preserve">ybrid </w:t>
      </w:r>
      <w:r>
        <w:rPr>
          <w:rFonts w:ascii="Arial" w:cs="Arial" w:eastAsia="Arial" w:hAnsi="Arial"/>
          <w:sz w:val="16"/>
          <w:szCs w:val="16"/>
          <w:b w:val="1"/>
          <w:bCs w:val="1"/>
          <w:u w:val="single" w:color="auto"/>
          <w:color w:val="auto"/>
        </w:rPr>
        <w:t>R</w:t>
      </w:r>
      <w:r>
        <w:rPr>
          <w:rFonts w:ascii="Arial" w:cs="Arial" w:eastAsia="Arial" w:hAnsi="Arial"/>
          <w:sz w:val="16"/>
          <w:szCs w:val="16"/>
          <w:color w:val="auto"/>
        </w:rPr>
        <w:t>NA-</w:t>
      </w:r>
      <w:r>
        <w:rPr>
          <w:rFonts w:ascii="Arial" w:cs="Arial" w:eastAsia="Arial" w:hAnsi="Arial"/>
          <w:sz w:val="16"/>
          <w:szCs w:val="16"/>
          <w:b w:val="1"/>
          <w:bCs w:val="1"/>
          <w:u w:val="single" w:color="auto"/>
          <w:color w:val="auto"/>
        </w:rPr>
        <w:t>DNA</w:t>
      </w:r>
      <w:r>
        <w:rPr>
          <w:rFonts w:ascii="Arial" w:cs="Arial" w:eastAsia="Arial" w:hAnsi="Arial"/>
          <w:sz w:val="16"/>
          <w:szCs w:val="16"/>
          <w:u w:val="single" w:color="auto"/>
          <w:color w:val="auto"/>
        </w:rPr>
        <w:t>,</w:t>
      </w:r>
      <w:r>
        <w:rPr>
          <w:rFonts w:ascii="Arial" w:cs="Arial" w:eastAsia="Arial" w:hAnsi="Arial"/>
          <w:sz w:val="16"/>
          <w:szCs w:val="16"/>
          <w:color w:val="auto"/>
        </w:rPr>
        <w:t xml:space="preserve"> or “chRDNA,” pronounced “chardonnay”) technologies, enables superior editing precision to develop cell therapies that are armored to improve antitumor activity. We are advancing a pipeline of allogeneic, or off-the-shelf, cell therapies from our chimeric antigen receptor (“CAR”) T (“CAR-T”) cell and CAR-natural killer (“CAR-NK”) cell platforms as readily available therapeutic treatments for patients.</w:t>
      </w:r>
    </w:p>
    <w:p>
      <w:pPr>
        <w:spacing w:after="0" w:line="158"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We are initially focused on advancing multiple allogeneic cell therapies for the treatment of hematologic malignancies and solid tumors. Our therapies are directed at established tumor cell surface targets for which autologous CAR-T cell therapeutics have already demonstrated clinical proof of concept, including CD19 and B cell maturation antigen (“BCMA”), as well as targets such as C-type lectin-like molecule-1 (“CLL-1,” also known as CD371). We use our chRDNA technologies to armor our cell therapies by using multiple genome-editing strategies, such as checkpoint disruption, immune cloaking, or a combination of these two strategies to enhance their antitumor activity.</w:t>
      </w:r>
    </w:p>
    <w:p>
      <w:pPr>
        <w:spacing w:after="0" w:line="176"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 xml:space="preserve">Our lead product candidate, CB-010, to our knowledge, is the first clinical-stage allogeneic anti-CD19 CAR-T cell therapy with programmed cell death protein 1 (“PD-1”) removed from the CAR-T cell surface by a genome-edited knockout of the </w:t>
      </w:r>
      <w:r>
        <w:rPr>
          <w:rFonts w:ascii="Arial" w:cs="Arial" w:eastAsia="Arial" w:hAnsi="Arial"/>
          <w:sz w:val="18"/>
          <w:szCs w:val="18"/>
          <w:i w:val="1"/>
          <w:iCs w:val="1"/>
          <w:color w:val="auto"/>
        </w:rPr>
        <w:t>PDCD1</w:t>
      </w:r>
      <w:r>
        <w:rPr>
          <w:rFonts w:ascii="Arial" w:cs="Arial" w:eastAsia="Arial" w:hAnsi="Arial"/>
          <w:sz w:val="18"/>
          <w:szCs w:val="18"/>
          <w:color w:val="auto"/>
        </w:rPr>
        <w:t xml:space="preserve"> gene. We have demonstrated in preclinical models that the PD-1 knockout improved the durability of antitumor activity by disrupting a pathway that leads to rapid T cell exhaustion. CB-010 is being evaluated in our ongoing ANTLER phase 1 clinical trial in patients with relapsed or refractory B cell non-Hodgkin lymphoma (“r/r B-NHL”). We completed the dose escalation portion of the ANTLER trial and advanced into the dose expansion portion, enrolling second-line large B cell lymphoma (“LBCL”) patients to determine the recommended phase 2 dose. CB-010 has received Regenerative Medicine Advanced Therapy (“RMAT”) designation for r/r LBCL and fast track designation for r/r B-NHL from the U.S. Food and Drug Administration (“FDA”).</w:t>
      </w:r>
    </w:p>
    <w:p>
      <w:pPr>
        <w:spacing w:after="0" w:line="192" w:lineRule="exact"/>
        <w:rPr>
          <w:sz w:val="20"/>
          <w:szCs w:val="20"/>
          <w:color w:val="auto"/>
        </w:rPr>
      </w:pPr>
    </w:p>
    <w:p>
      <w:pPr>
        <w:ind w:left="300" w:right="80" w:firstLine="426"/>
        <w:spacing w:after="0" w:line="272" w:lineRule="auto"/>
        <w:rPr>
          <w:sz w:val="20"/>
          <w:szCs w:val="20"/>
          <w:color w:val="auto"/>
        </w:rPr>
      </w:pPr>
      <w:r>
        <w:rPr>
          <w:rFonts w:ascii="Arial" w:cs="Arial" w:eastAsia="Arial" w:hAnsi="Arial"/>
          <w:sz w:val="17"/>
          <w:szCs w:val="17"/>
          <w:color w:val="auto"/>
        </w:rPr>
        <w:t xml:space="preserve">Our second product candidate, CB-011, is an allogeneic CAR-T cell therapy that targets BCMA. To our knowledge, it is the first anti-BCMA CAR-T cell therapy incorporating an immune cloaking approach that includes both the removal of the endogenous beta-2 microglobulin (“B2M”) protein by a genome-edited knockout of the </w:t>
      </w:r>
      <w:r>
        <w:rPr>
          <w:rFonts w:ascii="Arial" w:cs="Arial" w:eastAsia="Arial" w:hAnsi="Arial"/>
          <w:sz w:val="17"/>
          <w:szCs w:val="17"/>
          <w:i w:val="1"/>
          <w:iCs w:val="1"/>
          <w:color w:val="auto"/>
        </w:rPr>
        <w:t>B2M</w:t>
      </w:r>
      <w:r>
        <w:rPr>
          <w:rFonts w:ascii="Arial" w:cs="Arial" w:eastAsia="Arial" w:hAnsi="Arial"/>
          <w:sz w:val="17"/>
          <w:szCs w:val="17"/>
          <w:color w:val="auto"/>
        </w:rPr>
        <w:t xml:space="preserve"> gene and insertion of a B2M–human-leukocyte-antigen-E–peptide transgene (“B2M–HLA-E”), enabling expression of HLA-E on the CAR-T cell surface. This strategy is designed to reduce CAR-T cell rejection by both patient T cells and natural killer (“NK”) cells to potentially enable more durable antitumor activity. CB-011 is being evaluated in our ongoing CaMMouflage phase 1 clinical trial in patients with relapsed or refractory multiple myeloma (“r/r MM”). CB-011 has received fast track designation for r/r MM from the FDA. We plan to provide updates on dose escalation as the CaMMouflage Phase 1 trial advances.</w:t>
      </w:r>
    </w:p>
    <w:p>
      <w:pPr>
        <w:spacing w:after="0" w:line="28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60"/>
          </w:cols>
          <w:pgMar w:left="320" w:top="675" w:right="6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30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3303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Our third product candidate, CB-012, is an allogeneic CAR-T cell therapy targeting CLL-1, currently in preclinical development for the treatment of relapsed or refractory acute myeloid leukemia (“r/r AML”). CB-012 is, to our knowledge, the first allogeneic CAR-T cell therapy with both checkpoint disruption and immune cloaking strategies. We believe that CLL-1 is an attractive target for acute myeloid leukemia (“AML”) due to its expression on myeloid cancer cells, its enrichment in leukemic stem cells, and its absence on hematopoietic stem cells (“HSCs”). CB-012 is being evaluated in investigational new drug (“IND”) application-enabling studies to support a planned IND application submission for r/r AML in the second half of 2023.</w:t>
      </w:r>
    </w:p>
    <w:p>
      <w:pPr>
        <w:spacing w:after="0" w:line="192"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are developing allogeneic CAR-NK cell therapies derived from genome-edited induced pluripotent stem cells (“iPSCs”) for the treatment of solid tumors. CB-020 is our first CAR-NK product candidate from our CAR-NK platform and we have selected receptor tyrosine kinase like orphan receptor 1 (“ROR1”) as the tumor cell-surface target for CB-020. CB-020 and potential future CAR-NK cell therapy product candidates will contain genome edits designed to overcome some of the challenges of targeting solid tumors, such as trafficking, tumor infiltration, heterogeneity, and the immunosuppressive tumor microenvironment.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ANTLER Clinical Trial</w:t>
      </w:r>
    </w:p>
    <w:p>
      <w:pPr>
        <w:spacing w:after="0" w:line="117" w:lineRule="exact"/>
        <w:rPr>
          <w:sz w:val="20"/>
          <w:szCs w:val="20"/>
          <w:color w:val="auto"/>
        </w:rPr>
      </w:pPr>
    </w:p>
    <w:p>
      <w:pPr>
        <w:ind w:left="300" w:right="560" w:firstLine="426"/>
        <w:spacing w:after="0" w:line="277" w:lineRule="auto"/>
        <w:rPr>
          <w:sz w:val="20"/>
          <w:szCs w:val="20"/>
          <w:color w:val="auto"/>
        </w:rPr>
      </w:pPr>
      <w:r>
        <w:rPr>
          <w:rFonts w:ascii="Arial" w:cs="Arial" w:eastAsia="Arial" w:hAnsi="Arial"/>
          <w:sz w:val="18"/>
          <w:szCs w:val="18"/>
          <w:color w:val="auto"/>
        </w:rPr>
        <w:t>On July 13, 2023, we announced positive results of the long-term follow-up from the dose escalation portion of the ongoing ANTLER Phase 1 trial evaluating our CB-010 product candidate.</w:t>
      </w:r>
    </w:p>
    <w:p>
      <w:pPr>
        <w:spacing w:after="0" w:line="170"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The data set includes all 16 patients treated in dose escalation. Efficacy evaluations generally were performed 28 days post-CB-010 infusion, three months post-infusion, and every three months thereafter up to 24 months.</w:t>
      </w:r>
    </w:p>
    <w:p>
      <w:pPr>
        <w:spacing w:after="0" w:line="170" w:lineRule="exact"/>
        <w:rPr>
          <w:sz w:val="20"/>
          <w:szCs w:val="20"/>
          <w:color w:val="auto"/>
        </w:rPr>
      </w:pPr>
    </w:p>
    <w:p>
      <w:pPr>
        <w:ind w:left="300" w:right="20" w:firstLine="426"/>
        <w:spacing w:after="0" w:line="206" w:lineRule="auto"/>
        <w:rPr>
          <w:sz w:val="20"/>
          <w:szCs w:val="20"/>
          <w:color w:val="auto"/>
        </w:rPr>
      </w:pPr>
      <w:r>
        <w:rPr>
          <w:rFonts w:ascii="Arial" w:cs="Arial" w:eastAsia="Arial" w:hAnsi="Arial"/>
          <w:sz w:val="17"/>
          <w:szCs w:val="17"/>
          <w:color w:val="auto"/>
        </w:rPr>
        <w:t>In the dose escalation portion of the ANTLER trial, three dose levels of CB-010 were evaluated (dose level 1, 40x10</w:t>
      </w:r>
      <w:r>
        <w:rPr>
          <w:rFonts w:ascii="Arial" w:cs="Arial" w:eastAsia="Arial" w:hAnsi="Arial"/>
          <w:sz w:val="25"/>
          <w:szCs w:val="25"/>
          <w:color w:val="auto"/>
          <w:vertAlign w:val="superscript"/>
        </w:rPr>
        <w:t>6</w:t>
      </w:r>
      <w:r>
        <w:rPr>
          <w:rFonts w:ascii="Arial" w:cs="Arial" w:eastAsia="Arial" w:hAnsi="Arial"/>
          <w:sz w:val="17"/>
          <w:szCs w:val="17"/>
          <w:color w:val="auto"/>
        </w:rPr>
        <w:t xml:space="preserve"> CAR-T cells; dose level 2, 80x10</w:t>
      </w:r>
      <w:r>
        <w:rPr>
          <w:rFonts w:ascii="Arial" w:cs="Arial" w:eastAsia="Arial" w:hAnsi="Arial"/>
          <w:sz w:val="25"/>
          <w:szCs w:val="25"/>
          <w:color w:val="auto"/>
          <w:vertAlign w:val="superscript"/>
        </w:rPr>
        <w:t>6</w:t>
      </w:r>
      <w:r>
        <w:rPr>
          <w:rFonts w:ascii="Arial" w:cs="Arial" w:eastAsia="Arial" w:hAnsi="Arial"/>
          <w:sz w:val="17"/>
          <w:szCs w:val="17"/>
          <w:color w:val="auto"/>
        </w:rPr>
        <w:t xml:space="preserve"> CAR-T cells; and dose level 3, 120x106 CAR-T cells) in patients with multiple subtypes of aggressive r/r B-NHL. As of the May 4, 2023 data cutoff date for safety data and the June 20, 2023 data cutoff date for efficacy data, the results were as follows:</w:t>
      </w:r>
    </w:p>
    <w:p>
      <w:pPr>
        <w:spacing w:after="0" w:line="108" w:lineRule="exact"/>
        <w:rPr>
          <w:sz w:val="20"/>
          <w:szCs w:val="20"/>
          <w:color w:val="auto"/>
        </w:rPr>
      </w:pPr>
    </w:p>
    <w:p>
      <w:pPr>
        <w:ind w:left="1260" w:hanging="433"/>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CB-010 was generally well tolerated; as previously reported, a single dose-limiting toxicity (“DLT”) was observed in dose level 1, and no DLTs were observed in dose levels 2 or 3.</w:t>
      </w:r>
    </w:p>
    <w:p>
      <w:pPr>
        <w:spacing w:after="0" w:line="75"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94% overall response rate (“ORR”) (15 of 16 patients) was observed following a single dose of CB-010.</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69% (11 of 16 patients) achieved a complete response (“CR”).</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44% (7 of 16 patients) demonstrated a CR at six months post-dosing or later.</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 months is the longest CR maintained to date.</w:t>
      </w:r>
    </w:p>
    <w:p>
      <w:pPr>
        <w:spacing w:after="0" w:line="225" w:lineRule="exact"/>
        <w:rPr>
          <w:sz w:val="20"/>
          <w:szCs w:val="20"/>
          <w:color w:val="auto"/>
        </w:rPr>
      </w:pPr>
    </w:p>
    <w:p>
      <w:pPr>
        <w:ind w:left="300" w:right="220" w:firstLine="426"/>
        <w:spacing w:after="0" w:line="293" w:lineRule="auto"/>
        <w:rPr>
          <w:sz w:val="20"/>
          <w:szCs w:val="20"/>
          <w:color w:val="auto"/>
        </w:rPr>
      </w:pPr>
      <w:r>
        <w:rPr>
          <w:rFonts w:ascii="Arial" w:cs="Arial" w:eastAsia="Arial" w:hAnsi="Arial"/>
          <w:sz w:val="16"/>
          <w:szCs w:val="16"/>
          <w:color w:val="auto"/>
        </w:rPr>
        <w:t>Some patients converted from a CR or a partial response (“PR”) to progressive disease (“PD”) during the trial. For example, the 94% ORR rate includes eight patients who converted from CR or PR to PD at various assessment points in the trial. Also, the 69% overall CR rate includes one patient who converted from CR to PD at the nine-month assessment, two patients who converted from CR to PD at their six-month assessments, and two patients who converted from CR to PD at their three-month assessments. In addition, the 44% at ≥ six months CR rate includes the one patient who converted from CR at the six-month assessment to PD at nine-month assessment. The 44% at ≥ six months CR rate also includes one patient who had a PR at their six- and nine-month assessments and then converted to CR at the 12-month assessment.</w:t>
      </w:r>
    </w:p>
    <w:p>
      <w:pPr>
        <w:spacing w:after="0" w:line="70" w:lineRule="exact"/>
        <w:rPr>
          <w:sz w:val="20"/>
          <w:szCs w:val="20"/>
          <w:color w:val="auto"/>
        </w:rPr>
      </w:pPr>
    </w:p>
    <w:p>
      <w:pPr>
        <w:ind w:left="1260" w:hanging="43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subset of 10 patients with LBCL:</w:t>
      </w:r>
    </w:p>
    <w:p>
      <w:pPr>
        <w:spacing w:after="0" w:line="130" w:lineRule="exact"/>
        <w:rPr>
          <w:rFonts w:ascii="Arial" w:cs="Arial" w:eastAsia="Arial" w:hAnsi="Arial"/>
          <w:sz w:val="18"/>
          <w:szCs w:val="18"/>
          <w:color w:val="auto"/>
        </w:rPr>
      </w:pPr>
    </w:p>
    <w:p>
      <w:pPr>
        <w:ind w:left="1680" w:hanging="320"/>
        <w:spacing w:after="0"/>
        <w:tabs>
          <w:tab w:leader="none" w:pos="1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90% ORR (9 of 10 patients) was observed.</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675" w:right="6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0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hanging="320"/>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70% (7 of 10 patients) achieved a CR.</w:t>
      </w:r>
    </w:p>
    <w:p>
      <w:pPr>
        <w:spacing w:after="0" w:line="130" w:lineRule="exact"/>
        <w:rPr>
          <w:rFonts w:ascii="Arial" w:cs="Arial" w:eastAsia="Arial" w:hAnsi="Arial"/>
          <w:sz w:val="18"/>
          <w:szCs w:val="18"/>
          <w:color w:val="auto"/>
        </w:rPr>
      </w:pPr>
    </w:p>
    <w:p>
      <w:pPr>
        <w:ind w:left="1680" w:hanging="320"/>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50% (5 of 10 patients) had a CR at six months post-dosing or later; 18 months is the longest CR maintained to date.</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subset of four primary refractory (second-line) patients with LBCL:</w:t>
      </w:r>
    </w:p>
    <w:p>
      <w:pPr>
        <w:spacing w:after="0" w:line="130" w:lineRule="exact"/>
        <w:rPr>
          <w:rFonts w:ascii="Arial" w:cs="Arial" w:eastAsia="Arial" w:hAnsi="Arial"/>
          <w:sz w:val="18"/>
          <w:szCs w:val="18"/>
          <w:color w:val="auto"/>
        </w:rPr>
      </w:pPr>
    </w:p>
    <w:p>
      <w:pPr>
        <w:ind w:left="1680" w:hanging="320"/>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100% ORR (4 of 4 patients) was observed.</w:t>
      </w:r>
    </w:p>
    <w:p>
      <w:pPr>
        <w:spacing w:after="0" w:line="130" w:lineRule="exact"/>
        <w:rPr>
          <w:rFonts w:ascii="Arial" w:cs="Arial" w:eastAsia="Arial" w:hAnsi="Arial"/>
          <w:sz w:val="18"/>
          <w:szCs w:val="18"/>
          <w:color w:val="auto"/>
        </w:rPr>
      </w:pPr>
    </w:p>
    <w:p>
      <w:pPr>
        <w:ind w:left="1680" w:hanging="320"/>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50% (2 of 4 patients) achieved a CR.</w:t>
      </w:r>
    </w:p>
    <w:p>
      <w:pPr>
        <w:spacing w:after="0" w:line="130" w:lineRule="exact"/>
        <w:rPr>
          <w:rFonts w:ascii="Arial" w:cs="Arial" w:eastAsia="Arial" w:hAnsi="Arial"/>
          <w:sz w:val="18"/>
          <w:szCs w:val="18"/>
          <w:color w:val="auto"/>
        </w:rPr>
      </w:pPr>
    </w:p>
    <w:p>
      <w:pPr>
        <w:ind w:left="1680" w:hanging="320"/>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50% (2 of 4 patients) had a CR at six months post-dosing or later; 12 months is the longest CR maintained to date.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Patients had aggressive r/r B-NHL and had received two or more prior lines of chemoimmunotherapy or were primary refractory patients.</w:t>
      </w:r>
    </w:p>
    <w:p>
      <w:pPr>
        <w:spacing w:after="0" w:line="24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CB-010 was generally well tolerated. No cases of graft-vs-host disease (“GvHD”) or Grade 3+ cytokine release syndrome (“CRS”) were observed. The most common adverse events included thrombocytopenia (69% Grade 3+), neutropenia (56% Grade 3+), and anemia (50% Grade 3+). Through May 4, 2023, the safety data cutoff date, treatment-emergent adverse events of special interest were as follows: of the 16 patients, seven (44%) experienced CRS, none of which was Grade 3+; and four (25%) experienced immune effector cell–associated neurotoxicity syndrome (“ICANS”), of which two were Grade 1 and two were Grade 3+ at dose level 1. All of the patients experiencing ICANS had complete resolution of symptoms with supportive care (one with sequelae). Seven patients (44%) experienced infections after CB-010 infusion, with only one patient (6%) with a Grade 3 event, cellulitis of right antecubital region; this single highest-grade event was deemed unrelated to CB-010 according to the investigator.</w:t>
      </w:r>
    </w:p>
    <w:p>
      <w:pPr>
        <w:spacing w:after="0" w:line="192" w:lineRule="exact"/>
        <w:rPr>
          <w:sz w:val="20"/>
          <w:szCs w:val="20"/>
          <w:color w:val="auto"/>
        </w:rPr>
      </w:pPr>
    </w:p>
    <w:p>
      <w:pPr>
        <w:ind w:left="300" w:right="240" w:firstLine="426"/>
        <w:spacing w:after="0" w:line="241" w:lineRule="auto"/>
        <w:rPr>
          <w:sz w:val="20"/>
          <w:szCs w:val="20"/>
          <w:color w:val="auto"/>
        </w:rPr>
      </w:pPr>
      <w:r>
        <w:rPr>
          <w:rFonts w:ascii="Arial" w:cs="Arial" w:eastAsia="Arial" w:hAnsi="Arial"/>
          <w:sz w:val="17"/>
          <w:szCs w:val="17"/>
          <w:color w:val="auto"/>
        </w:rPr>
        <w:t>We are now enrolling second-line patients with LBCL in the ongoing dose expansion portion of the ANTLER clinical trial. In dose expansion, the 80x10</w:t>
      </w:r>
      <w:r>
        <w:rPr>
          <w:rFonts w:ascii="Arial" w:cs="Arial" w:eastAsia="Arial" w:hAnsi="Arial"/>
          <w:sz w:val="25"/>
          <w:szCs w:val="25"/>
          <w:color w:val="auto"/>
          <w:vertAlign w:val="superscript"/>
        </w:rPr>
        <w:t>6</w:t>
      </w:r>
      <w:r>
        <w:rPr>
          <w:rFonts w:ascii="Arial" w:cs="Arial" w:eastAsia="Arial" w:hAnsi="Arial"/>
          <w:sz w:val="17"/>
          <w:szCs w:val="17"/>
          <w:color w:val="auto"/>
        </w:rPr>
        <w:t xml:space="preserve"> CAR-T cells and 120x10</w:t>
      </w:r>
      <w:r>
        <w:rPr>
          <w:rFonts w:ascii="Arial" w:cs="Arial" w:eastAsia="Arial" w:hAnsi="Arial"/>
          <w:sz w:val="25"/>
          <w:szCs w:val="25"/>
          <w:color w:val="auto"/>
          <w:vertAlign w:val="superscript"/>
        </w:rPr>
        <w:t>6</w:t>
      </w:r>
      <w:r>
        <w:rPr>
          <w:rFonts w:ascii="Arial" w:cs="Arial" w:eastAsia="Arial" w:hAnsi="Arial"/>
          <w:sz w:val="17"/>
          <w:szCs w:val="17"/>
          <w:color w:val="auto"/>
        </w:rPr>
        <w:t xml:space="preserve"> CAR-T cells dose levels are being evaluated in approximately 30 second-line patients (approximately 15 patients per dose level) to determine the recommended Phase 2 dose (“RP2D”). Once the RP2D is determined, we may enroll additional patients in ANTLER. We plan to report dose expansion data from the ongoing ANTLER trial in the first half of 2024.</w:t>
      </w:r>
    </w:p>
    <w:p>
      <w:pPr>
        <w:spacing w:after="0" w:line="202"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Caution should be exercised when interpreting results from separate trials involving separate product candidates. Statements regarding results of other companies’ CAR-T cell therapies have been derived from publicly available reports of clinical trials run independently of us. We have not performed any head-to-head trials comparing any of these other CAR-T cell therapies with CB-010. As such, the results of these other clinical trials may not be comparable to clinical results for CB-010. The designs of these other trials vary in material ways from the design of the clinical trial for CB-010, including with respect to patient populations, follow up times, the clinical trial phase, and subject characteristics. As a result, cross-trial comparisons may have no interpretive value on our existing or future results. For further information and to understand these material differences, you should read the reports for the other companies’ clinical trials.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Pfizer Investment</w:t>
      </w:r>
    </w:p>
    <w:p>
      <w:pPr>
        <w:spacing w:after="0" w:line="117" w:lineRule="exact"/>
        <w:rPr>
          <w:sz w:val="20"/>
          <w:szCs w:val="20"/>
          <w:color w:val="auto"/>
        </w:rPr>
      </w:pPr>
    </w:p>
    <w:p>
      <w:pPr>
        <w:ind w:left="300" w:right="140" w:firstLine="426"/>
        <w:spacing w:after="0" w:line="293" w:lineRule="auto"/>
        <w:rPr>
          <w:sz w:val="20"/>
          <w:szCs w:val="20"/>
          <w:color w:val="auto"/>
        </w:rPr>
      </w:pPr>
      <w:r>
        <w:rPr>
          <w:rFonts w:ascii="Arial" w:cs="Arial" w:eastAsia="Arial" w:hAnsi="Arial"/>
          <w:sz w:val="16"/>
          <w:szCs w:val="16"/>
          <w:color w:val="auto"/>
        </w:rPr>
        <w:t>On June 30, 2023, we issued and sold 4,690,431 shares of our common stock to Pfizer, Inc. (“Pfizer”), for an aggregate purchase price of approximately $25 million, or $5.33 per share, in a private offering (the “Pfizer Investment”). We also granted certain registration rights to Pfizer with regard to the resale of the shares. Unless otherwise agreed by Pfizer, we have agreed to use the proceeds from the Pfizer Investment solely in connection with (i) the development program for our CB-011 product candidate and/or (ii) any other single-targeted anti-BCMA CAR-T cell therapy using an anti-BCMA single-chain variable fragment owned or controlled by us (collectively, cell therapies described in clauses (i) and (ii) are referred to as the “Company BCMA Product Candidate”), for 36 months beginning on June 29, 2023.</w:t>
      </w: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675"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We and Pfizer also entered into an Information Rights Agreement on June 29, 2023 (the “Information Rights Agreement”) having a thirty-six (36)-month term. Under the Information Rights Agreement, we granted Pfizer a thirty (30)-calendar day right of first negotiation if we commence or engage with any third party with respect to a potential grant of rights to develop and/or commercialize a Company BCMA Product Candidate, including, without limitation, a license agreement, a co-promotion/co-commercialization agreement, a profit share agreement, joint venture agreement, or asset sale agreement or otherwise (a “Grant of Program Rights”). If we and Pfizer do not reach an agreement with respect to a Grant of Program Rights within the 30-day period, then we may pursue negotiations regarding (and, if applicable, consummate) such Grant of Program Rights with any third party. In the event that we and such third party do not reach agreement on the Grant of Program Rights within a specified time period, Pfizer’s 30-day right of first negotiation would be reinstated.</w:t>
      </w:r>
    </w:p>
    <w:p>
      <w:pPr>
        <w:spacing w:after="0" w:line="178"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Under the Information Rights Agreement, we also agreed to grant Pfizer the right to designate one member on our Scientific Advisory Board, and Pfizer has selected Sriram Krishnaswami, PhD, Vice President and Development Head, Multiple Myeloma at Pfizer, to fill this position. Through an information sharing committee, we will provide calendar quarter updates to Pfizer regarding the development programs for a Company BCMA Product Candidate. Additionally, we agreed to provide Pfizer access to any preclinical or interim or final clinical data (including raw data) and results generated as part of the development program for a Company BCMA Product Candidate at the same time that we provide such data to a third party (other than to our service providers or the U.S. Food and Drug Administration or other regulatory authorities), subject to certain confidentiality exceptions.</w:t>
      </w:r>
    </w:p>
    <w:p>
      <w:pPr>
        <w:spacing w:after="0" w:line="195" w:lineRule="exact"/>
        <w:rPr>
          <w:sz w:val="20"/>
          <w:szCs w:val="20"/>
          <w:color w:val="auto"/>
        </w:rPr>
      </w:pPr>
    </w:p>
    <w:p>
      <w:pPr>
        <w:ind w:left="300" w:right="80" w:firstLine="426"/>
        <w:spacing w:after="0" w:line="287" w:lineRule="auto"/>
        <w:rPr>
          <w:sz w:val="20"/>
          <w:szCs w:val="20"/>
          <w:color w:val="auto"/>
        </w:rPr>
      </w:pPr>
      <w:r>
        <w:rPr>
          <w:rFonts w:ascii="Arial" w:cs="Arial" w:eastAsia="Arial" w:hAnsi="Arial"/>
          <w:sz w:val="16"/>
          <w:szCs w:val="16"/>
          <w:color w:val="auto"/>
        </w:rPr>
        <w:t>On June 29, 2023, we and Pfizer also entered into a Voting Agreement (the “Voting Agreement”), pursuant to which, for a period of 12 months, Pfizer agreed to cause our voting securities that Pfizer beneficially owns (within the meaning of Rules 13d-3 or 13d-5 under the Securities Exchange Act of 1934, as amended (the “Exchange Act”)) in excess of 4.99% of our then issued and outstanding voting securities to be voted</w:t>
      </w:r>
    </w:p>
    <w:p>
      <w:pPr>
        <w:spacing w:after="0" w:line="2" w:lineRule="exact"/>
        <w:rPr>
          <w:sz w:val="20"/>
          <w:szCs w:val="20"/>
          <w:color w:val="auto"/>
        </w:rPr>
      </w:pPr>
    </w:p>
    <w:p>
      <w:pPr>
        <w:ind w:left="300" w:right="180" w:hanging="6"/>
        <w:spacing w:after="0" w:line="253" w:lineRule="auto"/>
        <w:tabs>
          <w:tab w:leader="none" w:pos="515"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any matter directly relating to remuneration of directors, directors’ insurance, or indemnification or release from liability of directors, in a manner proportionally consistent with the votes properly cast for and against by holders of voting securities not beneficially owned by Pfizer, and (ii) with respect to any other matter in which Pfizer shall have the right to vote such voting securities, in accordance with the recommendation of our board of directors or any applicable committee thereof.</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Preliminary unaudited cash, cash equivalents, and marketable securities as of June 30, 2023</w:t>
      </w:r>
    </w:p>
    <w:p>
      <w:pPr>
        <w:spacing w:after="0" w:line="117" w:lineRule="exact"/>
        <w:rPr>
          <w:sz w:val="20"/>
          <w:szCs w:val="20"/>
          <w:color w:val="auto"/>
        </w:rPr>
      </w:pPr>
    </w:p>
    <w:p>
      <w:pPr>
        <w:jc w:val="both"/>
        <w:ind w:left="300" w:right="120" w:firstLine="426"/>
        <w:spacing w:after="0" w:line="279" w:lineRule="auto"/>
        <w:rPr>
          <w:sz w:val="20"/>
          <w:szCs w:val="20"/>
          <w:color w:val="auto"/>
        </w:rPr>
      </w:pPr>
      <w:r>
        <w:rPr>
          <w:rFonts w:ascii="Arial" w:cs="Arial" w:eastAsia="Arial" w:hAnsi="Arial"/>
          <w:sz w:val="17"/>
          <w:szCs w:val="17"/>
          <w:color w:val="auto"/>
        </w:rPr>
        <w:t>On a preliminary unaudited basis, we expect our cash, cash equivalents, and marketable securities as of June 30, 2023 to be approximately $292.5 million. This estimate of cash, cash equivalents, and marketable securities, which includes the proceeds from the Pfizer Investment, is our preliminary estimate based on currently available information and does not present all necessary information for an understanding of our financial condition as of June 30, 2023, or our results of operations for the three and six months ended June 30, 2023.</w:t>
      </w:r>
    </w:p>
    <w:p>
      <w:pPr>
        <w:spacing w:after="0" w:line="171"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color w:val="auto"/>
        </w:rPr>
        <w:t>As we complete our quarter-end financial close process and finalize our financial statements for the three and six months ended June 30, 2023, we may be required to make significant adjustments in a number of areas that may result in the estimate provided herein being different than the final reported cash, cash equivalents, and marketable securities. This preliminary estimate has been prepared by, and is the responsibility of, our management. Our independent registered public accounting firm has not audited, reviewed, or performed any procedures with respect to this preliminary estimate or the accounting treatment thereof and does not express an opinion or any other form of assurance with respect thereto. We expect to complete our financial statements for the three and six months ended June 30, 2023 subsequent to the completion of this offering. It is possible that we or our independent registered public accounting firm may identify items that require us to make adjustments to the preliminary estimated cash, cash equivalents, and marketable securities balance set forth above and those changes could be material. Accordingly, undue reliance should not be placed on this preliminary estimate.</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675" w:right="6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73" w:lineRule="auto"/>
        <w:rPr>
          <w:sz w:val="20"/>
          <w:szCs w:val="20"/>
          <w:color w:val="auto"/>
        </w:rPr>
      </w:pPr>
      <w:r>
        <w:rPr>
          <w:rFonts w:ascii="Arial" w:cs="Arial" w:eastAsia="Arial" w:hAnsi="Arial"/>
          <w:sz w:val="17"/>
          <w:szCs w:val="17"/>
          <w:color w:val="auto"/>
        </w:rPr>
        <w:t>The preliminary estimate is not necessarily indicative of any future period and should be read together with the sections of this prospectus supplement, our Annual Report on Form 10-K, and our Quarterly Reports on Form 10-Q entitled “Risk Factors,” “Special Note Regarding Forward-Looking Statements,” “Management’s Discussion and Analysis of Financial Condition and Results of Operations,” and the financial statements and related notes and other information that we incorporate by reference herein, including our Annual Report on Form 10-K and our Quarterly Reports on Form 10-Q, for additional information regarding factors that could result in differences between the preliminary estimate and the actual results we will report for cash, cash equivalents, and marketable securities as of June 30, 2023.</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500" w:firstLine="426"/>
        <w:spacing w:after="0" w:line="311" w:lineRule="auto"/>
        <w:rPr>
          <w:sz w:val="20"/>
          <w:szCs w:val="20"/>
          <w:color w:val="auto"/>
        </w:rPr>
      </w:pPr>
      <w:r>
        <w:rPr>
          <w:rFonts w:ascii="Arial" w:cs="Arial" w:eastAsia="Arial" w:hAnsi="Arial"/>
          <w:sz w:val="16"/>
          <w:szCs w:val="16"/>
          <w:color w:val="auto"/>
        </w:rPr>
        <w:t xml:space="preserve">Our principal executive offices are located at 2929 7th Street, Suite 105, Berkeley, California 94710 and our telephone number is (510) 982-6030. Our website address is </w:t>
      </w:r>
      <w:r>
        <w:rPr>
          <w:rFonts w:ascii="Arial" w:cs="Arial" w:eastAsia="Arial" w:hAnsi="Arial"/>
          <w:sz w:val="16"/>
          <w:szCs w:val="16"/>
          <w:i w:val="1"/>
          <w:iCs w:val="1"/>
          <w:color w:val="auto"/>
        </w:rPr>
        <w:t>www.cariboubio.com.</w:t>
      </w:r>
      <w:r>
        <w:rPr>
          <w:rFonts w:ascii="Arial" w:cs="Arial" w:eastAsia="Arial" w:hAnsi="Arial"/>
          <w:sz w:val="16"/>
          <w:szCs w:val="16"/>
          <w:color w:val="auto"/>
        </w:rPr>
        <w:t xml:space="preserve"> The information on, or that can be accessed through, our website is not part of this prospectus and is not incorporated by reference herein. We have included our website address as an inactive textual reference only.</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common stock is listed on The Nasdaq Global Select Market under the symbol “CRBU.”</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120" w:firstLine="426"/>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(the “JOBS Act”). 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 million as of the last business day of the second fiscal quarter of such year; or (iv) the date on which we have issued more than $1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97" w:lineRule="exact"/>
        <w:rPr>
          <w:sz w:val="20"/>
          <w:szCs w:val="20"/>
          <w:color w:val="auto"/>
        </w:rPr>
      </w:pPr>
    </w:p>
    <w:p>
      <w:pPr>
        <w:ind w:left="1260" w:right="200" w:hanging="433"/>
        <w:spacing w:after="0" w:line="263"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avail ourselves of the exemption from the requirement to obtain an attestation and report from our independent registered public accounting firm on the assessment of our internal control over financial reporting pursuant to the Sarbanes-Oxley Act of 2002, as amended (the “Sarbanes-Oxley Act”);</w:t>
      </w:r>
    </w:p>
    <w:p>
      <w:pPr>
        <w:spacing w:after="0" w:line="89" w:lineRule="exact"/>
        <w:rPr>
          <w:rFonts w:ascii="Arial" w:cs="Arial" w:eastAsia="Arial" w:hAnsi="Arial"/>
          <w:sz w:val="18"/>
          <w:szCs w:val="18"/>
          <w:color w:val="auto"/>
        </w:rPr>
      </w:pPr>
    </w:p>
    <w:p>
      <w:pPr>
        <w:ind w:left="1260" w:hanging="433"/>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provide less extensive disclosure about our executive compensation arrangements; and</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require stockholder non-binding advisory votes on executive compensation or golden parachute arrangements.</w:t>
      </w:r>
    </w:p>
    <w:p>
      <w:pPr>
        <w:spacing w:after="0" w:line="225"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new or revised accounting standards during the period in which we remain an emerging growth company; however, we may adopt certain new or revised accounting standards early.</w:t>
      </w:r>
    </w:p>
    <w:p>
      <w:pPr>
        <w:spacing w:after="0" w:line="188" w:lineRule="exact"/>
        <w:rPr>
          <w:sz w:val="20"/>
          <w:szCs w:val="20"/>
          <w:color w:val="auto"/>
        </w:rPr>
      </w:pPr>
    </w:p>
    <w:p>
      <w:pPr>
        <w:jc w:val="both"/>
        <w:ind w:left="300" w:firstLine="426"/>
        <w:spacing w:after="0" w:line="311" w:lineRule="auto"/>
        <w:rPr>
          <w:sz w:val="20"/>
          <w:szCs w:val="20"/>
          <w:color w:val="auto"/>
        </w:rPr>
      </w:pPr>
      <w:r>
        <w:rPr>
          <w:rFonts w:ascii="Arial" w:cs="Arial" w:eastAsia="Arial" w:hAnsi="Arial"/>
          <w:sz w:val="16"/>
          <w:szCs w:val="16"/>
          <w:color w:val="auto"/>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the exemption from the auditor attestation requirements of Section 404(b) of the Sarbanes-Oxley Act as long as we do not</w:t>
      </w: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675" w:right="6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018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20186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6" w:lineRule="auto"/>
        <w:rPr>
          <w:sz w:val="20"/>
          <w:szCs w:val="20"/>
          <w:color w:val="auto"/>
        </w:rPr>
      </w:pPr>
      <w:r>
        <w:rPr>
          <w:rFonts w:ascii="Arial" w:cs="Arial" w:eastAsia="Arial" w:hAnsi="Arial"/>
          <w:sz w:val="17"/>
          <w:szCs w:val="17"/>
          <w:color w:val="auto"/>
        </w:rPr>
        <w:t>otherwise also qualify as an “accelerated filer” or “large accelerated filer” for SEC reporting purposes, and reduced disclosure obligations regarding executive compensation in our periodic reports and proxy statements. In addition, as a smaller reporting company, we may choose to present only the two most recent fiscal years of audited financial statements in our Annual Report on Form 10-K.</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left="300" w:right="100" w:firstLine="426"/>
        <w:spacing w:after="0" w:line="252" w:lineRule="auto"/>
        <w:rPr>
          <w:sz w:val="20"/>
          <w:szCs w:val="20"/>
          <w:color w:val="auto"/>
        </w:rPr>
      </w:pPr>
      <w:r>
        <w:rPr>
          <w:rFonts w:ascii="Arial" w:cs="Arial" w:eastAsia="Arial" w:hAnsi="Arial"/>
          <w:sz w:val="17"/>
          <w:szCs w:val="17"/>
          <w:color w:val="auto"/>
        </w:rPr>
        <w:t xml:space="preserve">We have registered Caribou Biosciences, Caribou, Site-Seq, and our logo as trademarks or service marks in the United States and certain other jurisdictions. This prospectus supplement contains references to our trademarks and service marks and to those belonging to other entities. Solely for convenience, trademarks, service marks, and trade names referred to in this prospectus, including logos, artwork, and other visual displays, may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symbols, but in the case of our trademarks, service marks, and trade names, such references are not intended to indicate in any way that we will not assert, to the fullest extent under applicable law, our rights to these trademarks, service marks, and trade names. We do not intend our use or display of other entities’ trade names, trademarks, or service marks to imply a relationship with, or endorsement or sponsorship of us by, any other entity.</w:t>
      </w:r>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675" w:right="6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880"/>
          </w:cols>
          <w:pgMar w:left="320" w:top="675" w:right="69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Caribou Biosciences, Inc.</w:t>
      </w:r>
    </w:p>
    <w:p>
      <w:pPr>
        <w:spacing w:after="0" w:line="200" w:lineRule="exact"/>
        <w:rPr>
          <w:sz w:val="20"/>
          <w:szCs w:val="20"/>
          <w:color w:val="auto"/>
        </w:rPr>
      </w:pPr>
    </w:p>
    <w:p>
      <w:pPr>
        <w:sectPr>
          <w:pgSz w:w="11900" w:h="16838" w:orient="portrait"/>
          <w:cols w:equalWidth="0" w:num="2">
            <w:col w:w="3620" w:space="720"/>
            <w:col w:w="6540"/>
          </w:cols>
          <w:pgMar w:left="320" w:top="675" w:right="699" w:bottom="1440" w:gutter="0" w:footer="0" w:header="0"/>
          <w:type w:val="continuous"/>
        </w:sectPr>
      </w:pPr>
    </w:p>
    <w:p>
      <w:pPr>
        <w:spacing w:after="0" w:line="8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19,230,769 shares.</w:t>
      </w:r>
    </w:p>
    <w:p>
      <w:pPr>
        <w:spacing w:after="0" w:line="207" w:lineRule="exact"/>
        <w:rPr>
          <w:sz w:val="20"/>
          <w:szCs w:val="20"/>
          <w:color w:val="auto"/>
        </w:rPr>
      </w:pPr>
    </w:p>
    <w:p>
      <w:pPr>
        <w:sectPr>
          <w:pgSz w:w="11900" w:h="16838" w:orient="portrait"/>
          <w:cols w:equalWidth="0" w:num="2">
            <w:col w:w="3620" w:space="720"/>
            <w:col w:w="6540"/>
          </w:cols>
          <w:pgMar w:left="320" w:top="675" w:right="69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granted the underwriters an over-allotment option for a period of 30 days to purchase up to 2,884,615 additional shares of our common stock.</w:t>
      </w:r>
    </w:p>
    <w:p>
      <w:pPr>
        <w:spacing w:after="0" w:line="193" w:lineRule="exact"/>
        <w:rPr>
          <w:sz w:val="20"/>
          <w:szCs w:val="20"/>
          <w:color w:val="auto"/>
        </w:rPr>
      </w:pPr>
    </w:p>
    <w:p>
      <w:pPr>
        <w:sectPr>
          <w:pgSz w:w="11900" w:h="16838" w:orient="portrait"/>
          <w:cols w:equalWidth="0" w:num="2">
            <w:col w:w="3620" w:space="720"/>
            <w:col w:w="6540"/>
          </w:cols>
          <w:pgMar w:left="320" w:top="675" w:right="69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Common Stock to be Outstanding Immediately</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After this Offering</w:t>
      </w:r>
    </w:p>
    <w:p>
      <w:pPr>
        <w:spacing w:after="0" w:line="20" w:lineRule="exact"/>
        <w:rPr>
          <w:sz w:val="20"/>
          <w:szCs w:val="20"/>
          <w:color w:val="auto"/>
        </w:rPr>
      </w:pPr>
      <w:r>
        <w:rPr>
          <w:sz w:val="20"/>
          <w:szCs w:val="20"/>
          <w:color w:val="auto"/>
        </w:rPr>
        <w:br w:type="column"/>
      </w:r>
    </w:p>
    <w:p>
      <w:pPr>
        <w:ind w:right="560"/>
        <w:spacing w:after="0" w:line="277" w:lineRule="auto"/>
        <w:rPr>
          <w:sz w:val="20"/>
          <w:szCs w:val="20"/>
          <w:color w:val="auto"/>
        </w:rPr>
      </w:pPr>
      <w:r>
        <w:rPr>
          <w:rFonts w:ascii="Arial" w:cs="Arial" w:eastAsia="Arial" w:hAnsi="Arial"/>
          <w:sz w:val="18"/>
          <w:szCs w:val="18"/>
          <w:color w:val="auto"/>
        </w:rPr>
        <w:t>80,554,292 shares (or 83,438,907 shares if the underwriters exercise their option to purchase additional shares of common stock in full).</w:t>
      </w:r>
    </w:p>
    <w:p>
      <w:pPr>
        <w:spacing w:after="0" w:line="200" w:lineRule="exact"/>
        <w:rPr>
          <w:sz w:val="20"/>
          <w:szCs w:val="20"/>
          <w:color w:val="auto"/>
        </w:rPr>
      </w:pPr>
    </w:p>
    <w:p>
      <w:pPr>
        <w:sectPr>
          <w:pgSz w:w="11900" w:h="16838" w:orient="portrait"/>
          <w:cols w:equalWidth="0" w:num="2">
            <w:col w:w="3920" w:space="420"/>
            <w:col w:w="6540"/>
          </w:cols>
          <w:pgMar w:left="320" w:top="675" w:right="699" w:bottom="1440" w:gutter="0" w:footer="0" w:header="0"/>
          <w:type w:val="continuous"/>
        </w:sectPr>
      </w:pPr>
    </w:p>
    <w:p>
      <w:pPr>
        <w:spacing w:after="0" w:line="20"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currently intend to use the net proceeds from this offering, together with our existing cash, cash equivalents, and marketable securities, to fund (i) manufacturing and clinical development of our CB-010 and CB-011 product candidates; (ii) IND-enabling activities, manufacturing, and clinical development of our CB-012 product candidate; (iii) preclinical development of our CB-020 product candidate; (iv) ongoing research activities to advance our cell therapy platforms and Cas12a chRDNA and other technologies; and (v) general corporate purposes, including working capital, capital expenditures, and corporate development.</w:t>
      </w:r>
    </w:p>
    <w:p>
      <w:pPr>
        <w:spacing w:after="0" w:line="200" w:lineRule="exact"/>
        <w:rPr>
          <w:sz w:val="20"/>
          <w:szCs w:val="20"/>
          <w:color w:val="auto"/>
        </w:rPr>
      </w:pPr>
    </w:p>
    <w:p>
      <w:pPr>
        <w:sectPr>
          <w:pgSz w:w="11900" w:h="16838" w:orient="portrait"/>
          <w:cols w:equalWidth="0" w:num="2">
            <w:col w:w="3620" w:space="720"/>
            <w:col w:w="6540"/>
          </w:cols>
          <w:pgMar w:left="320" w:top="675" w:right="699" w:bottom="1440" w:gutter="0" w:footer="0" w:header="0"/>
          <w:type w:val="continuous"/>
        </w:sectPr>
      </w:pPr>
    </w:p>
    <w:p>
      <w:pPr>
        <w:spacing w:after="0" w:line="5" w:lineRule="exact"/>
        <w:rPr>
          <w:sz w:val="20"/>
          <w:szCs w:val="20"/>
          <w:color w:val="auto"/>
        </w:rPr>
      </w:pPr>
    </w:p>
    <w:p>
      <w:pPr>
        <w:ind w:left="4340" w:right="240"/>
        <w:spacing w:after="0" w:line="259" w:lineRule="auto"/>
        <w:rPr>
          <w:sz w:val="20"/>
          <w:szCs w:val="20"/>
          <w:color w:val="auto"/>
        </w:rPr>
      </w:pPr>
      <w:r>
        <w:rPr>
          <w:rFonts w:ascii="Arial" w:cs="Arial" w:eastAsia="Arial" w:hAnsi="Arial"/>
          <w:sz w:val="18"/>
          <w:szCs w:val="18"/>
          <w:color w:val="auto"/>
        </w:rPr>
        <w:t>Pending the specific use of net proceeds as described in this prospectus supplement, we intend to invest the net proceeds to us from this offering in investment-grade, interest-bearing instruments. See “Use of Proceeds” in this prospectus supplement for more information.</w:t>
      </w:r>
    </w:p>
    <w:p>
      <w:pPr>
        <w:sectPr>
          <w:pgSz w:w="11900" w:h="16838" w:orient="portrait"/>
          <w:cols w:equalWidth="0" w:num="1">
            <w:col w:w="10880"/>
          </w:cols>
          <w:pgMar w:left="320" w:top="675" w:right="699" w:bottom="1440" w:gutter="0" w:footer="0" w:header="0"/>
          <w:type w:val="continuous"/>
        </w:sectPr>
      </w:pP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Investing in our securities involves a high degree of risk. See “Risk Factors” beginning on page S-9 of this prospectus supplement, the accompanying prospectus, and in the documents incorporated by reference into this prospectus supplement for a discussion of certain factors to consider carefully before deciding to purchase any of our securities.</w:t>
      </w:r>
    </w:p>
    <w:p>
      <w:pPr>
        <w:spacing w:after="0" w:line="180" w:lineRule="exact"/>
        <w:rPr>
          <w:sz w:val="20"/>
          <w:szCs w:val="20"/>
          <w:color w:val="auto"/>
        </w:rPr>
      </w:pPr>
    </w:p>
    <w:p>
      <w:pPr>
        <w:sectPr>
          <w:pgSz w:w="11900" w:h="16838" w:orient="portrait"/>
          <w:cols w:equalWidth="0" w:num="2">
            <w:col w:w="3620" w:space="720"/>
            <w:col w:w="6540"/>
          </w:cols>
          <w:pgMar w:left="320" w:top="675" w:right="69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The Nasdaq Global Select Market Symbol</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Our common stock is currently listed on The Nasdaq Global Select Market under the symbol “CRBU.”</w:t>
      </w:r>
    </w:p>
    <w:p>
      <w:pPr>
        <w:spacing w:after="0" w:line="170" w:lineRule="exact"/>
        <w:rPr>
          <w:sz w:val="20"/>
          <w:szCs w:val="20"/>
          <w:color w:val="auto"/>
        </w:rPr>
      </w:pPr>
    </w:p>
    <w:p>
      <w:pPr>
        <w:sectPr>
          <w:pgSz w:w="11900" w:h="16838" w:orient="portrait"/>
          <w:cols w:equalWidth="0" w:num="2">
            <w:col w:w="3620" w:space="720"/>
            <w:col w:w="6540"/>
          </w:cols>
          <w:pgMar w:left="320" w:top="675" w:right="699" w:bottom="1440" w:gutter="0" w:footer="0" w:header="0"/>
          <w:type w:val="continuous"/>
        </w:sectPr>
      </w:pPr>
    </w:p>
    <w:p>
      <w:pPr>
        <w:ind w:left="300" w:firstLine="426"/>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61,323,523 shares of common stock outstanding as of March 31, 2023 and excludes:</w:t>
      </w:r>
    </w:p>
    <w:p>
      <w:pPr>
        <w:spacing w:after="0" w:line="76" w:lineRule="exact"/>
        <w:rPr>
          <w:sz w:val="20"/>
          <w:szCs w:val="20"/>
          <w:color w:val="auto"/>
        </w:rPr>
      </w:pPr>
    </w:p>
    <w:p>
      <w:pPr>
        <w:ind w:left="1260" w:hanging="433"/>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4,690,431 shares of common stock issued to Pfizer pursuant to the Pfizer Investment;</w:t>
      </w:r>
    </w:p>
    <w:p>
      <w:pPr>
        <w:spacing w:after="0" w:line="130" w:lineRule="exact"/>
        <w:rPr>
          <w:rFonts w:ascii="Arial" w:cs="Arial" w:eastAsia="Arial" w:hAnsi="Arial"/>
          <w:sz w:val="18"/>
          <w:szCs w:val="18"/>
          <w:color w:val="auto"/>
        </w:rPr>
      </w:pPr>
    </w:p>
    <w:p>
      <w:pPr>
        <w:ind w:left="1260" w:right="400" w:hanging="433"/>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3,166,478 shares of common stock issuable upon the exercise of stock options outstanding as of March 31, 2023 under the 2013 Equity Incentive Plan (the “2013 Plan”), at a weighted-average exercise price of $3.80 per share;</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880"/>
          </w:cols>
          <w:pgMar w:left="320" w:top="675" w:right="6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57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2575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right="320" w:hanging="433"/>
        <w:spacing w:after="0" w:line="27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5,936,482 shares of common stock issuable upon the exercise of stock options outstanding as of March 31, 2023 under the 2021 Equity Incentive Plan (the “2021 Plan”), at a weighted-average exercise price of $10.55 per share;</w:t>
      </w:r>
    </w:p>
    <w:p>
      <w:pPr>
        <w:spacing w:after="0" w:line="75" w:lineRule="exact"/>
        <w:rPr>
          <w:rFonts w:ascii="Arial" w:cs="Arial" w:eastAsia="Arial" w:hAnsi="Arial"/>
          <w:sz w:val="18"/>
          <w:szCs w:val="18"/>
          <w:color w:val="auto"/>
        </w:rPr>
      </w:pPr>
    </w:p>
    <w:p>
      <w:pPr>
        <w:ind w:left="1260" w:right="80" w:hanging="433"/>
        <w:spacing w:after="0" w:line="27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236,169 shares of common stock issuable upon the settlement of restricted stock units, (“RSUs”), and performance-based restricted stock units (“PSUs”), outstanding as of March 31, 2023 issued pursuant to our 2021 Plan;</w:t>
      </w:r>
    </w:p>
    <w:p>
      <w:pPr>
        <w:spacing w:after="0" w:line="75" w:lineRule="exact"/>
        <w:rPr>
          <w:rFonts w:ascii="Arial" w:cs="Arial" w:eastAsia="Arial" w:hAnsi="Arial"/>
          <w:sz w:val="18"/>
          <w:szCs w:val="18"/>
          <w:color w:val="auto"/>
        </w:rPr>
      </w:pPr>
    </w:p>
    <w:p>
      <w:pPr>
        <w:ind w:left="1260" w:hanging="433"/>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6,495,057 shares of common stock available for future issuance as of March 31, 2023 under the 2021 Plan; and</w:t>
      </w:r>
    </w:p>
    <w:p>
      <w:pPr>
        <w:spacing w:after="0" w:line="130" w:lineRule="exact"/>
        <w:rPr>
          <w:rFonts w:ascii="Arial" w:cs="Arial" w:eastAsia="Arial" w:hAnsi="Arial"/>
          <w:sz w:val="18"/>
          <w:szCs w:val="18"/>
          <w:color w:val="auto"/>
        </w:rPr>
      </w:pPr>
    </w:p>
    <w:p>
      <w:pPr>
        <w:ind w:left="1260" w:hanging="433"/>
        <w:spacing w:after="0" w:line="27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1,584,538 shares of common stock reserved for future issuance as of March 31, 2023 under the 2021 Employee Stock Purchase Plan (the “2021 ESPP”).</w:t>
      </w:r>
    </w:p>
    <w:p>
      <w:pPr>
        <w:spacing w:after="0" w:line="170"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Unless we specifically state otherwise, all information in this prospectus supplement assumes no exercise of the outstanding options or settlement of the outstanding RSUs or PSUs described above, and no exercise of the underwriters’ option to purchase up to 2,884,615 additional shares of common stock.</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 addition, the number of shares of our common stock outstanding immediately after this offering excludes additional shares of common</w:t>
      </w:r>
    </w:p>
    <w:p>
      <w:pPr>
        <w:ind w:left="300"/>
        <w:spacing w:after="0" w:line="210" w:lineRule="auto"/>
        <w:rPr>
          <w:sz w:val="20"/>
          <w:szCs w:val="20"/>
          <w:color w:val="auto"/>
        </w:rPr>
      </w:pPr>
      <w:r>
        <w:rPr>
          <w:rFonts w:ascii="Arial" w:cs="Arial" w:eastAsia="Arial" w:hAnsi="Arial"/>
          <w:sz w:val="26"/>
          <w:szCs w:val="26"/>
          <w:color w:val="auto"/>
          <w:vertAlign w:val="subscript"/>
        </w:rPr>
        <w:t>stock that we may sell pursuant to the Open Market Sale Agreement</w:t>
      </w:r>
      <w:r>
        <w:rPr>
          <w:rFonts w:ascii="Arial" w:cs="Arial" w:eastAsia="Arial" w:hAnsi="Arial"/>
          <w:sz w:val="11"/>
          <w:szCs w:val="11"/>
          <w:color w:val="auto"/>
        </w:rPr>
        <w:t>SM (the “Sales Agreement”), by and between us and Jefferies LLC. As of the date of this prospectus</w:t>
      </w:r>
    </w:p>
    <w:p>
      <w:pPr>
        <w:spacing w:after="0" w:line="1" w:lineRule="exact"/>
        <w:rPr>
          <w:sz w:val="20"/>
          <w:szCs w:val="20"/>
          <w:color w:val="auto"/>
        </w:rPr>
      </w:pPr>
    </w:p>
    <w:p>
      <w:pPr>
        <w:ind w:left="300" w:right="500"/>
        <w:spacing w:after="0" w:line="257" w:lineRule="auto"/>
        <w:rPr>
          <w:sz w:val="20"/>
          <w:szCs w:val="20"/>
          <w:color w:val="auto"/>
        </w:rPr>
      </w:pPr>
      <w:r>
        <w:rPr>
          <w:rFonts w:ascii="Arial" w:cs="Arial" w:eastAsia="Arial" w:hAnsi="Arial"/>
          <w:sz w:val="13"/>
          <w:szCs w:val="13"/>
          <w:color w:val="auto"/>
        </w:rPr>
        <w:t>supplement, we may sell up to approximately $98.8 million of common stock pursuant to the Sales Agreement after the expiration of the lock-up period applicable to us and described in “Underwriting” in this prospectus supplement unless the representatives waive this restriction earlier.</w:t>
      </w:r>
    </w:p>
    <w:p>
      <w:pPr>
        <w:spacing w:after="0" w:line="2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800"/>
          </w:cols>
          <w:pgMar w:left="320" w:top="675" w:right="7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i w:val="1"/>
          <w:iCs w:val="1"/>
          <w:color w:val="auto"/>
        </w:rPr>
        <w:t>Investing in our securities involves a high degree of risk. Before deciding to invest in our securities, you should carefully consider the risks and uncertainties described below together with all of the other information contained in this prospectus supplement, the accompanying prospectus, and in the documents incorporated by reference herein and therein, including the risks described in “Item 1A. Risk Factors” of our Annual Report on Form 10-K for the year ended December 31, 2022 filed with the SEC. If any of these risks actually occur, our business, prospects, operating results, and financial condition could suffer materially. In such event, the trading price of our common stock could decline and you might lose all or part of your investment. See also “Special Note Regarding Forward-Looking Statements” in this prospectus supplement.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Securities and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not use them effectively.</w:t>
      </w:r>
    </w:p>
    <w:p>
      <w:pPr>
        <w:spacing w:after="0" w:line="11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cannot specify with certainty the particular uses of the net proceeds we will receive from this offering. Our management will have broad discretion in the application of the net proceeds, including for any of the purposes described in “Use of Proceeds” in this prospectus supplement. Accordingly, you will have to rely upon the judgment of our management with respect to the use of the proceeds, with only limited information concerning management’s specific intentions.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immediate dilution in the book value per share of the common stock you purchase in this offering.</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Given that the price per share of our common stock being offered is expected to be higher than the book value per share of our common stock, you may suffer substantial dilution in the net tangible book value of the shares of our common stock you purchase in this offering. Based on the public offering price of $6.50 per share and our net tangible book value as of March 31, 2023, if you purchase shares of our common stock in this offering, you will suffer an immediate and substantial dilution of $1.59 per share with respect to the net tangible book value of the common stock. The exercise of outstanding stock options and the settlement of RSUs and PSUs may result in further dilution of your investment. See “Dilution” in this prospectus supplement for a more detailed discussion of the dilution you will incur if you purchase shares of our common stock in this offering.</w:t>
      </w:r>
    </w:p>
    <w:p>
      <w:pPr>
        <w:spacing w:after="0" w:line="27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Future sales or issuances of our common stock in the public markets, or the perception of such sales, could depress the trading price of our common stock.</w:t>
      </w:r>
    </w:p>
    <w:p>
      <w:pPr>
        <w:spacing w:after="0" w:line="62"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sale of a substantial number of shares of our common stock or other equity-related securities in the public markets or otherwise, or the perception that such sales could occur, could depress the market price of our common stock and impair our ability to raise capital through the sale of additional equity securities.</w:t>
      </w:r>
    </w:p>
    <w:p>
      <w:pPr>
        <w:spacing w:after="0" w:line="184" w:lineRule="exact"/>
        <w:rPr>
          <w:sz w:val="20"/>
          <w:szCs w:val="20"/>
          <w:color w:val="auto"/>
        </w:rPr>
      </w:pPr>
    </w:p>
    <w:p>
      <w:pPr>
        <w:jc w:val="both"/>
        <w:ind w:left="120" w:right="260" w:firstLine="440"/>
        <w:spacing w:after="0" w:line="301" w:lineRule="auto"/>
        <w:rPr>
          <w:sz w:val="20"/>
          <w:szCs w:val="20"/>
          <w:color w:val="auto"/>
        </w:rPr>
      </w:pPr>
      <w:r>
        <w:rPr>
          <w:rFonts w:ascii="Arial" w:cs="Arial" w:eastAsia="Arial" w:hAnsi="Arial"/>
          <w:sz w:val="16"/>
          <w:szCs w:val="16"/>
          <w:color w:val="auto"/>
        </w:rPr>
        <w:t>On August 9, 2022, we also entered into the Sales Agreement with respect to an at-the-market (“ATM”) equity offering program, pursuant to which, through Jefferies LLC as sales agent, we may from time to time, sell shares of our common stock having an aggregate offering price of up to $100.0 million in gross proceeds. Through the date of this prospectus supplement, we have sold 168,635 shares of our common stock under the Sales Agreement at an average price per share of $7.32 for aggregate gross proceeds of $1.2 million ($1.0 million net of offering expenses).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cannot predict the effect that future sales of common stock or other equity-related securities would have on the market price of our common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675"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preliminary financial estimates represent management’s current estimates and are subject to change.</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preliminary financial information contained in “Prospectus Supplement Summary—Recent Developments—Preliminary unaudited cash, cash equivalents, and marketable securities as of June 30, 2023” represents only preliminary estimates and is based on information available to management as of the date of this prospectus supplement and these estimates could change. Our actual financial results as of, and for the three and six months ended, June 30, 2023 are subject to the completion of our financial statements as of such date, and for such period. Such actual financial results will not be available until after this offering is completed and, consequently, will not be available to you prior to investing in this offering. Our actual financial results as of, and for the three and six months ended, June 30, 2023 may differ materially from the preliminary financial results we have provided as a result of completion of our final adjustments, review by our independent registered public accountants, and other developments arising between now and the time that our financial results for such period are finalized. Our independent registered public accountants have not audited or completed their review with respect to such preliminary estimates and accordingly do not express an opinion or any other form of assurance with respect thereto. Complete results as of, and for the three and six months ended, June 30, 2023 will be included in our Quarterly Report on Form 10-Q for the three months ended June 30, 2023. See the other risks described in this section and “Special Note Regarding Forward-Looking Statements” for additional information regarding factors that could result in differences between these preliminary and the actual financial results we will report for the three and six months ended June 30, 2023.</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675"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estimate that the net proceeds from this offering will be approximately $116.9 million after deducting underwriting discounts and commissions and estimated offering expenses, or approximately $134.6 million if the underwriters’ option to purchase additional shares is exercised in full.</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currently intend to use the net proceeds from this offering, together with our existing cash, cash equivalents, and marketable securities, to fund</w:t>
      </w:r>
    </w:p>
    <w:p>
      <w:pPr>
        <w:spacing w:after="0" w:line="46" w:lineRule="exact"/>
        <w:rPr>
          <w:sz w:val="20"/>
          <w:szCs w:val="20"/>
          <w:color w:val="auto"/>
        </w:rPr>
      </w:pPr>
    </w:p>
    <w:p>
      <w:pPr>
        <w:ind w:left="120" w:right="140" w:hanging="4"/>
        <w:spacing w:after="0" w:line="253"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and clinical development of our CB-010 and CB-011 product candidates; (ii) IND-enabling activities, manufacturing, and clinical development of our CB-012 product candidate; (iii) preclinical development of our CB-020 product candidate; (iv) ongoing research activities to advance our cell therapy platforms and Cas12a chRDNA and other technologies; and (v) general corporate purposes, including working capital, capital expenditures, and corporate development.</w:t>
      </w:r>
    </w:p>
    <w:p>
      <w:pPr>
        <w:spacing w:after="0" w:line="193"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Pending the specific use of net proceeds as set forth above, we intend to invest the net proceeds to us from this offering in investment-grade, interest-bearing instruments.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management will have broad discretion in the application of the net proceeds, if any, from this offering and the amounts and timing of our actual expenditures will depend on numerous factors, including those listed under the heading “Risk Factors” in this prospectus supplement and the accompanying prospectus and the documents incorporated by reference herein. 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expenditures and the extent of our preclinical, clinical, and future development activities may vary significantly depending on numerous factors, including the progress of our development efforts, the status of and results from our ongoing and planned clinical trials, the timing of regulatory submissions and the outcome of regulatory review, our ability to take advantage of expedited programs or to obtain regulatory approval for product candidates, and the timing and costs associated with the manufacture and supply of our product candidates for clinical development or commercialization, as well as any collaborations that we may enter into with third parties for our product candidates and any unforeseen cash needs. Although we intend to spend the net proceeds of the offering as stated above, circumstances may arise when, for sound business reasons, a re-allocation of funds may be necessary or advisable.</w:t>
      </w:r>
    </w:p>
    <w:p>
      <w:pPr>
        <w:spacing w:after="0" w:line="182"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In the event that we use a portion of the net proceeds from this offering for the future development, acquisition, or in-license of other products, product candidates, businesses, or technologies, our cash resources could be depleted earlier than we currently expect. However, we have no current agreements or commitments for these possible future expenditures.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675"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will be at the discretion of our board of directors and will depend on then-existing conditions, including our financial condition, results of operations, contractual restrictions, capital requirements, business prospects, and other factors our board of directors may deem relevant.</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20"/>
          </w:cols>
          <w:pgMar w:left="320" w:top="675" w:right="5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public offering price per share of our common stock and the net tangible book value per share of our common stock immediately after this offering.</w:t>
      </w:r>
    </w:p>
    <w:p>
      <w:pPr>
        <w:spacing w:after="0" w:line="12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historical net tangible book value of our common stock as of March 31, 2023 was approximately $278.3 million, or approximately $4.54 per share of common stock, based upon 61,323,523 shares outstanding as of March 31, 2023. Net tangible book value per share is equal to our total tangible assets, less our total liabilities, divided by the total number of shares outstanding as of March 31, 2023.</w:t>
      </w:r>
    </w:p>
    <w:p>
      <w:pPr>
        <w:spacing w:after="0" w:line="16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After giving effect to the sale of 19,230,769 shares our common stock in this offering at the public offering price of $6.50 per share and after deducting the underwriting discounts and commissions and estimated offering expenses payable by us, our as adjusted net tangible book value as of March 31, 2023 would have been $395.2 million, or $4.91 per share of common stock. This represents an immediate increase in net tangible book value of $0.37 per share to our existing stockholders and an immediate dilution in net tangible book value of $1.59 per share to new investors in this offering.</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calculation on a per share basis.</w:t>
            </w: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6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March 31, 2023</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$4.54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0.37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54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If the underwriters exercise in full their option to purchase up to 2,884,615 additional shares of common stock, the as adjusted net tangible book value after this offering would be $4.95 per share of our common stock, representing an increase of as adjusted net tangible book value of $0.41 per share to our existing stockholders and an immediate dilution of $1.55 per share to investors purchasing shares in this offering.</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and calculations above are based 61,323,523 shares of common stock outstanding as of March 31, 2023 and excludes:</w:t>
      </w:r>
    </w:p>
    <w:p>
      <w:pPr>
        <w:spacing w:after="0" w:line="131" w:lineRule="exact"/>
        <w:rPr>
          <w:sz w:val="20"/>
          <w:szCs w:val="20"/>
          <w:color w:val="auto"/>
        </w:rPr>
      </w:pPr>
    </w:p>
    <w:p>
      <w:pPr>
        <w:ind w:left="1100" w:hanging="43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4,690,431 shares of common stock issued to Pfizer pursuant to the Pfizer Investment at a purchase price of $5.33 per share;</w:t>
      </w:r>
    </w:p>
    <w:p>
      <w:pPr>
        <w:spacing w:after="0" w:line="130" w:lineRule="exact"/>
        <w:rPr>
          <w:rFonts w:ascii="Arial" w:cs="Arial" w:eastAsia="Arial" w:hAnsi="Arial"/>
          <w:sz w:val="18"/>
          <w:szCs w:val="18"/>
          <w:color w:val="auto"/>
        </w:rPr>
      </w:pPr>
    </w:p>
    <w:p>
      <w:pPr>
        <w:ind w:left="1100" w:right="80" w:hanging="433"/>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3,166,478 shares of common stock issuable upon the exercise of stock options outstanding as of March 31, 2023 under the 2013 Plan at a weighted-average exercise price of $3.80 per share;</w:t>
      </w:r>
    </w:p>
    <w:p>
      <w:pPr>
        <w:spacing w:after="0" w:line="75" w:lineRule="exact"/>
        <w:rPr>
          <w:rFonts w:ascii="Arial" w:cs="Arial" w:eastAsia="Arial" w:hAnsi="Arial"/>
          <w:sz w:val="18"/>
          <w:szCs w:val="18"/>
          <w:color w:val="auto"/>
        </w:rPr>
      </w:pPr>
    </w:p>
    <w:p>
      <w:pPr>
        <w:ind w:left="1100" w:right="80" w:hanging="433"/>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5,936,482 shares of common stock issuable upon the exercise of stock options outstanding as of March 31, 2023 under the 2021 Plan at a weighted-average exercise price of $10.55 per share;</w:t>
      </w:r>
    </w:p>
    <w:p>
      <w:pPr>
        <w:spacing w:after="0" w:line="75"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236,169 shares of common stock issuable upon the settlement of RSUs and PSUs outstanding as of March 31, 2023 issued pursuant to our 2021 Plan;</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6,495,057 shares of common stock available for future issuance as of March 31, 2023 under the 2021 Plan;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1,584,538 shares of common stock reserved for future issuance as of March 31, 2023 under the 2021 ESPP.</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80"/>
          </w:cols>
          <w:pgMar w:left="320" w:top="675"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the number of shares of our common stock outstanding immediately after this offering excludes additional shares of common stock that we may sell pursuant to the Sales Agreement. As of the date of this prospectus supplement, we may sell up to approximately $98.8 million of common stock pursuant to the Sales Agreement after the expiration of the lock-up period applicable to us and described in “Underwriting” in this prospectus supplement unless the representatives waive this restriction earlier.</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To the extent that outstanding options are exercised and RSUs and PSUs are settled in common stock,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stockholders.</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0980"/>
          </w:cols>
          <w:pgMar w:left="320" w:top="675" w:right="5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INVESTORS IN OUR COMMON STOCK THAT ARE NON-U.S. HOLDERS</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following is a general discussion of the material U.S. federal income tax consequences applicable to non-U.S. holders (as defined below) of the acquisition, ownership, and disposition of our common stock acquired in this offering. This discussion does not purport to be a complete analysis of all the potential U.S. federal income tax considerations, and does not describe any state, local, or non-U.S. income, estate, gift, or other tax consequences of the acquisition, ownership, and disposition of our common stock acquired in this offering. This discussion is based upon the applicable provisions of the Internal Revenue Code of 1986, as amended (the “Tax Code”), applicable U.S. Treasury regulations promulgated thereunder (the “Treasury Regulations”), judicial decisions, and published rulings and administrative pronouncements of the U.S. Internal Revenue Service (the “IRS”), all as of the date hereof. These authorities may be changed, revoked, or modified, possibly on a retroactive basis, or be subject to differing interpretations, which in any such case could result in U.S. federal income tax consequences different from those described below. We have not sought and will not seek any rulings from the IRS regarding the matters discussed below. There can be no assurance the IRS will not take a contrary position to that discussed below regarding the U.S. federal income tax consequences of the acquisition, ownership, and disposition of our common stock or that any such contrary position would not be sustained by a court.</w:t>
      </w:r>
    </w:p>
    <w:p>
      <w:pPr>
        <w:spacing w:after="0" w:line="18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This discussion is limited to non-U.S. holders who purchase our common stock pursuant to this offering and who hold our common stock as a “capital asset” within the meaning of Section 1221 of the Tax Code (generally, property held for investment). This discussion does not address all of the potential U.S. federal income tax consequences applicable to a non-U.S. holder’s particular circumstances, including the impact of the 3.8% Medicare contribution tax on net investment income or the alternative minimum tax. In addition, this discussion does not address the U.S. federal income tax consequences applicable to non-U.S. holders that are subject to special rules, including:</w:t>
      </w:r>
    </w:p>
    <w:p>
      <w:pPr>
        <w:spacing w:after="0" w:line="82" w:lineRule="exact"/>
        <w:rPr>
          <w:sz w:val="20"/>
          <w:szCs w:val="20"/>
          <w:color w:val="auto"/>
        </w:rPr>
      </w:pPr>
    </w:p>
    <w:p>
      <w:pPr>
        <w:ind w:left="1100" w:hanging="43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tax-exempt organizations, governmental organizations, or tax-qualified retirement plans;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 estate investment trusts, mutual funds, or regulated investment companies;</w:t>
      </w:r>
    </w:p>
    <w:p>
      <w:pPr>
        <w:spacing w:after="0" w:line="130"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that elect or are otherwise subject to the mark-to-market method of accounting for U.S. federal income tax purposes;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partnerships or other pass-through entities or arrangements for U.S. federal income tax purposes (or holders of interests in such entities);</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Tax Code;</w:t>
      </w:r>
    </w:p>
    <w:p>
      <w:pPr>
        <w:spacing w:after="0" w:line="130"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who acquired our common stock pursuant to the exercise of any employee stock option or otherwise as compensation or through a qualified retirement plan;</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expatriates or former citizens or long-term residents of the United States;</w:t>
      </w:r>
    </w:p>
    <w:p>
      <w:pPr>
        <w:spacing w:after="0" w:line="130"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who hold our common stock as part of a straddle, hedge, conversion transaction, synthetic security, other integrated investment, or other risk reduction strategy;</w:t>
      </w:r>
    </w:p>
    <w:p>
      <w:pPr>
        <w:spacing w:after="0" w:line="75" w:lineRule="exact"/>
        <w:rPr>
          <w:rFonts w:ascii="Arial" w:cs="Arial" w:eastAsia="Arial" w:hAnsi="Arial"/>
          <w:sz w:val="18"/>
          <w:szCs w:val="18"/>
          <w:color w:val="auto"/>
        </w:rPr>
      </w:pPr>
    </w:p>
    <w:p>
      <w:pPr>
        <w:ind w:left="1100" w:right="420" w:hanging="433"/>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Tax Code and entities all of the interests of which are held by qualified foreign pension funds;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675"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if a partnership, including any entity or arrangement treated as a partnership for U.S. federal income tax purposes, holds our common stock, the U.S. federal income tax treatment of a partner in the partnership generally will depend on the status of the partner, the activities of the partnership, and certain determinations made at the partner level. Accordingly, partnerships that hold our common stock, and partners in such partnerships, should consult their tax advisors regarding the U.S. federal income tax consequences to them of the acquisition, ownership, and disposition of our common stock.</w:t>
      </w:r>
    </w:p>
    <w:p>
      <w:pPr>
        <w:spacing w:after="0" w:line="18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FOLLOWING DISCUSSION IS FOR INFORMATIONAL PURPOSES ONLY AND IS NOT TAX ADVICE. PROSPECTIVE INVESTORS ARE URGED TO CONSULT THEIR TAX ADVISORS REGARDING THE PARTICULAR U.S. FEDERAL INCOME TAX CONSEQUENCES TO THEM OF ACQUIRING, OWNING, AND DISPOSING OF OUR COMMON STOCK, AS WELL AS ANY TAX CONSEQUENCES ARISING UNDER ANY STATE, LOCAL, OR NON-U.S. TAX LAWS, OR UNDER ANY U.S. FEDERAL NON-INCOME TAX LAWS, OR UNDER ANY APPLICABLE INCOME TAX TREATY.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purposes of this discussion, the term “non-U.S. holder” means any beneficial owner of our common stock that, for U.S. federal income tax purposes, is neither a “U.S. person” nor an entity or arrangement treated as a partnership. A “U.S. holder” is any person that, for U.S. federal income tax purposes, is:</w:t>
      </w:r>
    </w:p>
    <w:p>
      <w:pPr>
        <w:spacing w:after="0" w:line="89" w:lineRule="exact"/>
        <w:rPr>
          <w:sz w:val="20"/>
          <w:szCs w:val="20"/>
          <w:color w:val="auto"/>
        </w:rPr>
      </w:pPr>
    </w:p>
    <w:p>
      <w:pPr>
        <w:ind w:left="1100" w:hanging="43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that is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100" w:right="60" w:hanging="433"/>
        <w:spacing w:after="0" w:line="286"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trust that (i) is subject to the primary supervision of a U.S. court and one or more “United States persons” (within the meaning of Section 7701(a)(30) of the Tax Code) have the authority to control all substantial decisions of the trust, or (ii) has a valid election in effect under applicable Treasury Regulations to be treated as a United States person for U.S. federal income tax purposes.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on Common Stock</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described in the section titled “Dividend Policy,” we do not currently expect to make cash dividends on our common stock. In the event we make distributions of cash or property on our common stock, such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first as a tax-free return of capital that reduces a non-U.S. holder’s adjusted basis in such non-U.S. holder’s common stock, but not below zero. Any excess will be treated as gain realized on the sale or other taxable disposition of our common stock and will be treated as described in “—</w:t>
      </w:r>
      <w:r>
        <w:rPr>
          <w:rFonts w:ascii="Arial" w:cs="Arial" w:eastAsia="Arial" w:hAnsi="Arial"/>
          <w:sz w:val="16"/>
          <w:szCs w:val="16"/>
          <w:i w:val="1"/>
          <w:iCs w:val="1"/>
          <w:color w:val="auto"/>
        </w:rPr>
        <w:t>Sale or Other Taxable Disposition of Common Stock</w:t>
      </w:r>
      <w:r>
        <w:rPr>
          <w:rFonts w:ascii="Arial" w:cs="Arial" w:eastAsia="Arial" w:hAnsi="Arial"/>
          <w:sz w:val="16"/>
          <w:szCs w:val="16"/>
          <w:color w:val="auto"/>
        </w:rPr>
        <w:t>,” below.</w:t>
      </w:r>
    </w:p>
    <w:p>
      <w:pPr>
        <w:spacing w:after="0" w:line="16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Any distribution on our common stock paid to a non-U.S. holder that is treated as a dividend generally will be subject to U.S. federal withholding tax at a rate of 30%, or such lower rate specified by an applicable income tax treaty, if any. To receive the benefit of a reduced treaty rate, a non-U.S. holder generally must furnish us or the applicable withholding agent with a valid IRS Form W-8BEN or IRS Form W-8BEN-E (or applicable successor form) certifying such non-U.S. holder’s qualification for the reduced withholding rate under the applicable treaty. This certification must be provided to us or the applicable withholding agent before the payment of dividends and must be updated periodically. If a non-U.S. holder holds common stock through a financial institution or other intermediary, the non-U.S. holder will be required to provide appropriate documentation to the intermediary, which will then be required to provide certification to the applicable withholding agent, either directly or through other intermediaries. A non-U.S. holder that does not timely furnish the required documentation, but qualifies for a reduced treaty rate, may generally obtain a refund of any excess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675"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amounts withheld by timely filing an appropriate claim for refund with the IRS. Non-U.S. holders should consult their tax advisors regarding their entitlement to benefits under any applicable income tax treaty and the specific manner of claiming the benefits of such treaty.</w:t>
      </w:r>
    </w:p>
    <w:p>
      <w:pPr>
        <w:spacing w:after="0" w:line="14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If dividends paid on our common stock to a non-U.S. holder are effectively connected with such non-U.S. holder’s U.S. trade or business (and, if required by an applicable treaty, such dividends are attributable to a permanent establishment or fixed base maintained by such non-U.S. holder within the United States), such non-U.S. holder generally will be exempt from the U.S. federal withholding tax described above (provided that such non-U.S. holder complies with certain certification and disclosure requirements, usually by providing an IRS Form W-8ECI), and instead will be subject to U.S. federal income tax at ordinary U.S. federal income tax rates (which tax is imposed on a net income basis). In the case of a non-U.S. holder that is a corporation for U.S. federal income tax purposes, such non-U.S. holder may also be subject to an additional 30% branch profits tax on such effectively connected dividend income unless such corporate non-U.S. holder qualifies for a lower rate under an applicable income tax treaty.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Common Stock</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or withholding tax on any gain realized on a sale or other taxable disposition of our common stock, unless:</w:t>
      </w:r>
    </w:p>
    <w:p>
      <w:pPr>
        <w:spacing w:after="0" w:line="76" w:lineRule="exact"/>
        <w:rPr>
          <w:sz w:val="20"/>
          <w:szCs w:val="20"/>
          <w:color w:val="auto"/>
        </w:rPr>
      </w:pPr>
    </w:p>
    <w:p>
      <w:pPr>
        <w:ind w:left="1100" w:right="220" w:hanging="433"/>
        <w:spacing w:after="0" w:line="263"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an applicable income tax treaty so requires, is attributable to a permanent establishment or fixed base maintained by the non-U.S. holder within the United States);</w:t>
      </w:r>
    </w:p>
    <w:p>
      <w:pPr>
        <w:spacing w:after="0" w:line="89"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100" w:hanging="433"/>
        <w:spacing w:after="0" w:line="25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 “USRPHC”), at any time within the shorter of the five-year period preceding such disposition or the non-U.S. holder’s holding period for the relevant shares of common stock and, in the case where our common stock is regularly traded on an established securities market, the non-U.S. holder has owned, directly or constructively, more than 5% of our common stock at any time within the shorter of the five-year period preceding such disposition or the non-U.S. holder’s holding for the shares of common stock.</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the gain is described in the first bullet point above, the non-U.S. holder generally will be subject to U.S. federal income tax on a net income basis at regular rates with respect to such gain in the same manner as if such non-U.S. holder were a U.S. person. In addition, if the non-U.S. holder is a corporation for U.S. federal income tax purposes, it may also be subject to an additional 30% branch profits tax (or such lower rate specified by an applicable treaty) on such effectively connected gain.</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non-U.S. holder described in the second bullet point above generally will be subject to U.S. federal income tax with respect to such gain at a flat 30% rate (or such lower rate specified by an applicable income tax treaty), which may be offset by certain U.S. source capital losses of the non-U.S. holder during the taxable year of disposition (even though the individual is not considered a resident of the United States), provided that the non-U.S. holder has timely filed U.S. federal income tax returns with respect to such losses.</w:t>
      </w:r>
    </w:p>
    <w:p>
      <w:pPr>
        <w:spacing w:after="0" w:line="18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If the third bullet point above applies to a non-U.S. holder, gain realized by such non-U.S. holder will be subject to U.S. federal income tax at generally applicable U.S. federal income tax rates, and in addition, a buyer may be required to withhold U.S. federal income tax at a rate of 15% of the amount realized upon such disposition. We generally will be classified as a USRPHC if the fair market value of our “United States real property interests” (as defined in the Tax Code) equals or exceeds 50% of the sum of the fair market value of our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675"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worldwide real property interests plus our other assets used or held for use in a trade or business, as determined for U.S. federal income tax purposes. We believe that we are not and do not anticipate becoming a USRPHC. However, such determination is factual in nature and subject to change and no assurance can be provided as to whether we would be treated as a USRPHC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Information returns may be filed with the IRS in connection with the distributions paid on our common stock and the proceeds received from the sale or other disposition of our common stock. Copies of these information returns may be made available under the provisions of a specific treaty or other agreement to tax authorities of the country in which a non-U.S. holder resides. A non-U.S. holder may have to comply with certification procedures to establish that it is not a U.S. person in order to avoid certain information reporting requirements. Backup withholding (currently at a 24% rate) may apply to such payments if the non-U.S. holder does not provide the applicable withholding agent a properly executed IRS Form W-8BEN or IRS Form W-8BEN-E (or other applicable or successor form) certifying as to its non-U.S. status and certain other conditions are met, or otherwise establishes an exemption, provided that the applicable withholding agent does not have actual knowledge or reason to know the holder is a U.S. person.</w:t>
      </w:r>
    </w:p>
    <w:p>
      <w:pPr>
        <w:spacing w:after="0" w:line="16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are required to report annually to the IRS the amount of any dividends paid to a non-U.S. holder, regardless of whether we actually withheld any tax. Copies of the information returns reporting such dividends and the amount withheld may also be made available to the tax authorities in the country in which the non-U.S. holder resides under the provisions of an income tax treaty or other agreement between the United States and the tax authorities in such country. In addition, proceeds from the disposition by a non-U.S. holder of our common stock that is transacted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7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non-U.S. holder’s U.S. federal income tax liability and may entitle such non-U.S. holder to a refund, provided the required information is timely furnished to the IRS. Non-U.S. holders should consult their tax advisors regarding the application of information reporting and backup withholding to them.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FATCA</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Withholding taxes may be imposed under Sections 1471 to 1474 of the Tax Code (such sections are commonly referred to as the Foreign Account Tax Compliance Act (“FATCA”)) on certain types of payments made to non-U.S. financial institutions and certain other non-U.S. entities. Specifically, a 30% withholding tax may be imposed on dividends paid on our common stock paid to a “foreign financial institution” or a “non-financial foreign entity” (each as defined in the Tax Code), unless (i) the foreign financial institution undertakes certain diligence and reporting obligations, (ii) the non-financial foreign entity either certifies it does not have any “substantial United States owners” (as defined in the Tax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“specified United States persons” or “United States owned foreign entities” (each as defined in the Tax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675"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FATCA withholding was scheduled to apply to gross proceeds from the disposition of property that produces U.S.-source dividends (such as our common stock) beginning on January 1, 2019. However, proposed Treasury Regulations have been issued that would eliminate FATCA withholding on such gross proceeds, and although these Treasury Regulations are not final, taxpayers generally may rely on these proposed Treasury Regulations until final Treasury Regulations are issued.</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Non-U.S. holders should consult their own tax advisors regarding the potential application of withholding under FATCA to an investment in our common stock.</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00"/>
          </w:cols>
          <w:pgMar w:left="320" w:top="675" w:right="5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BofA Securities, Inc., SVB Securities LLC, and Evercore Group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Underwriter</w:t>
            </w:r>
          </w:p>
        </w:tc>
        <w:tc>
          <w:tcPr>
            <w:tcW w:w="300" w:type="dxa"/>
            <w:vAlign w:val="bottom"/>
            <w:vMerge w:val="restart"/>
          </w:tcPr>
          <w:p>
            <w:pPr>
              <w:spacing w:after="0"/>
              <w:rPr>
                <w:sz w:val="14"/>
                <w:szCs w:val="14"/>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7,115,385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SVB Securities LLC</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5,865,385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Evercore Group L.L.C.</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4,615,384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1,634,615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19,230,769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securities sold under the underwriting agreement if any of these securities are purchased. If an underwriter defaults, the underwriting agreement provides that the purchase commitments of the nondefaulting underwriters may be increased or the underwriting agreement may be terminated.</w:t>
      </w:r>
    </w:p>
    <w:p>
      <w:pPr>
        <w:spacing w:after="0" w:line="14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underwriters are offering the securities, subject to prior sale, when, as and if issued to and accepted by them, subject to approval of legal matters by their counsel, including the validity of the securities,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The representatives have advised us that the underwriters propose initially to offer the shares to the public at the public offering price set forth on the cover page of this prospectus supplement and to dealers at that price less a concession not in excess of $0.234 per share of common stock. After the initial offering, the public offering price, concession, or any other term of the offering may be changed.</w:t>
      </w:r>
    </w:p>
    <w:p>
      <w:pPr>
        <w:spacing w:after="0" w:line="165"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The following table shows the public offering price per share of common stock, underwriting discounts and commissions, and proceeds before expenses to us. This information assumes either no exercise or full exercise by the underwriters of their option to purchase additional shares.</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Per</w:t>
            </w:r>
          </w:p>
        </w:tc>
        <w:tc>
          <w:tcPr>
            <w:tcW w:w="140" w:type="dxa"/>
            <w:vAlign w:val="bottom"/>
          </w:tcPr>
          <w:p>
            <w:pPr>
              <w:spacing w:after="0"/>
              <w:rPr>
                <w:sz w:val="14"/>
                <w:szCs w:val="14"/>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Without</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With</w:t>
            </w:r>
          </w:p>
        </w:tc>
      </w:tr>
      <w:tr>
        <w:trPr>
          <w:trHeight w:val="171"/>
        </w:trPr>
        <w:tc>
          <w:tcPr>
            <w:tcW w:w="3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Option</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$ 6.50</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124,999,999</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143,749,996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880" w:type="dxa"/>
            <w:vAlign w:val="bottom"/>
            <w:gridSpan w:val="3"/>
          </w:tcPr>
          <w:p>
            <w:pPr>
              <w:jc w:val="center"/>
              <w:ind w:left="1510"/>
              <w:spacing w:after="0"/>
              <w:rPr>
                <w:sz w:val="20"/>
                <w:szCs w:val="20"/>
                <w:color w:val="auto"/>
              </w:rPr>
            </w:pPr>
            <w:r>
              <w:rPr>
                <w:rFonts w:ascii="Arial" w:cs="Arial" w:eastAsia="Arial" w:hAnsi="Arial"/>
                <w:sz w:val="18"/>
                <w:szCs w:val="18"/>
                <w:color w:val="auto"/>
                <w:w w:val="87"/>
              </w:rPr>
              <w:t>$ 0.39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7,500,000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8,625,000</w:t>
            </w: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880" w:type="dxa"/>
            <w:vAlign w:val="bottom"/>
            <w:gridSpan w:val="3"/>
            <w:shd w:val="clear" w:color="auto" w:fill="CCEEFF"/>
          </w:tcPr>
          <w:p>
            <w:pPr>
              <w:jc w:val="center"/>
              <w:ind w:left="1510"/>
              <w:spacing w:after="0"/>
              <w:rPr>
                <w:sz w:val="20"/>
                <w:szCs w:val="20"/>
                <w:color w:val="auto"/>
              </w:rPr>
            </w:pPr>
            <w:r>
              <w:rPr>
                <w:rFonts w:ascii="Arial" w:cs="Arial" w:eastAsia="Arial" w:hAnsi="Arial"/>
                <w:sz w:val="18"/>
                <w:szCs w:val="18"/>
                <w:color w:val="auto"/>
                <w:w w:val="87"/>
              </w:rPr>
              <w:t>$ 6.11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117,499,999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135,124,996</w:t>
            </w:r>
          </w:p>
        </w:tc>
        <w:tc>
          <w:tcPr>
            <w:tcW w:w="60" w:type="dxa"/>
            <w:vAlign w:val="bottom"/>
            <w:shd w:val="clear" w:color="auto" w:fill="CCEEFF"/>
          </w:tcPr>
          <w:p>
            <w:pPr>
              <w:spacing w:after="0"/>
              <w:rPr>
                <w:sz w:val="18"/>
                <w:szCs w:val="18"/>
                <w:color w:val="auto"/>
              </w:rPr>
            </w:pPr>
          </w:p>
        </w:tc>
      </w:tr>
      <w:tr>
        <w:trPr>
          <w:trHeight w:val="365"/>
        </w:trPr>
        <w:tc>
          <w:tcPr>
            <w:tcW w:w="3720" w:type="dxa"/>
            <w:vAlign w:val="bottom"/>
          </w:tcPr>
          <w:p>
            <w:pPr>
              <w:spacing w:after="0"/>
              <w:rPr>
                <w:sz w:val="24"/>
                <w:szCs w:val="24"/>
                <w:color w:val="auto"/>
              </w:rPr>
            </w:pPr>
          </w:p>
        </w:tc>
        <w:tc>
          <w:tcPr>
            <w:tcW w:w="2880" w:type="dxa"/>
            <w:vAlign w:val="bottom"/>
            <w:gridSpan w:val="3"/>
          </w:tcPr>
          <w:p>
            <w:pPr>
              <w:ind w:left="740"/>
              <w:spacing w:after="0"/>
              <w:rPr>
                <w:sz w:val="20"/>
                <w:szCs w:val="20"/>
                <w:color w:val="auto"/>
              </w:rPr>
            </w:pPr>
            <w:r>
              <w:rPr>
                <w:rFonts w:ascii="Arial" w:cs="Arial" w:eastAsia="Arial" w:hAnsi="Arial"/>
                <w:sz w:val="18"/>
                <w:szCs w:val="18"/>
                <w:color w:val="auto"/>
              </w:rPr>
              <w:t>S-20</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675" w:right="4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expenses of the offering, not including the underwriting discount, are estimated at $550,000 and are payable by us. We have also agreed to reimburse the underwriters for their expenses relating to the clearance of this offering with the Financial Industry Regulatory Authority in an amount up to $50,000.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supplement, to purchase up to 2,884,615 additional shares of our common stock from us, at the public offering price, less the underwriting discount. If the underwriters exercise this option, each will be obligated, subject to conditions contained in the underwriting agreement, to purchase a number of additional shares of our common stock proportionate to that underwriter’s initial amount reflected in the above table.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our executive officers, and directors have agreed not to sell or transfer any common stock or securities convertible into, exchangeable for, exercisable for, or repayable with common stock, for 60 days after the date of this prospectus supplement without first obtaining the written consent of the representatives. Specifically, we and these other persons have agreed, with certain limited exceptions, not to directly or indirectly:</w:t>
      </w:r>
    </w:p>
    <w:p>
      <w:pPr>
        <w:spacing w:after="0" w:line="71" w:lineRule="exact"/>
        <w:rPr>
          <w:sz w:val="20"/>
          <w:szCs w:val="20"/>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request or demand that we file or make a confidential submission of a registration statement related to the common stock,</w:t>
      </w:r>
    </w:p>
    <w:p>
      <w:pPr>
        <w:spacing w:after="0" w:line="130" w:lineRule="exact"/>
        <w:rPr>
          <w:rFonts w:ascii="Arial" w:cs="Arial" w:eastAsia="Arial" w:hAnsi="Arial"/>
          <w:sz w:val="18"/>
          <w:szCs w:val="18"/>
          <w:color w:val="auto"/>
        </w:rPr>
      </w:pPr>
    </w:p>
    <w:p>
      <w:pPr>
        <w:ind w:left="1100" w:right="140" w:hanging="433"/>
        <w:spacing w:after="0" w:line="342" w:lineRule="auto"/>
        <w:tabs>
          <w:tab w:leader="none" w:pos="11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29" w:lineRule="exact"/>
        <w:rPr>
          <w:rFonts w:ascii="Arial" w:cs="Arial" w:eastAsia="Arial" w:hAnsi="Arial"/>
          <w:sz w:val="16"/>
          <w:szCs w:val="16"/>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The representatives, in their sole discretion, may release the common stock and other securities subject to the lock-up agreements described above in whole or in part at any time with or without notice.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Nasdaq Global Select Market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shares of our common stock are listed on The Nasdaq Global Select Market under the symbol “CRBU.”</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60"/>
          </w:cols>
          <w:pgMar w:left="320" w:top="675" w:right="5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connection with this offering, underwriters and selling group members may engage in passive market making transactions in the common stock on The Nasdaq Global Select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675"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 and the United Kingdom</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securities have been offered or will be offered pursuant to this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82" w:lineRule="exact"/>
        <w:rPr>
          <w:sz w:val="20"/>
          <w:szCs w:val="20"/>
          <w:color w:val="auto"/>
        </w:rPr>
      </w:pPr>
    </w:p>
    <w:p>
      <w:pPr>
        <w:ind w:left="1100" w:hanging="544"/>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100" w:right="60" w:hanging="544"/>
        <w:spacing w:after="0" w:line="277"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100" w:hanging="544"/>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jc w:val="both"/>
        <w:ind w:left="120" w:right="760" w:firstLine="440"/>
        <w:spacing w:after="0" w:line="277" w:lineRule="auto"/>
        <w:rPr>
          <w:sz w:val="20"/>
          <w:szCs w:val="20"/>
          <w:color w:val="auto"/>
        </w:rPr>
      </w:pPr>
      <w:r>
        <w:rPr>
          <w:rFonts w:ascii="Arial" w:cs="Arial" w:eastAsia="Arial" w:hAnsi="Arial"/>
          <w:sz w:val="18"/>
          <w:szCs w:val="18"/>
          <w:color w:val="auto"/>
        </w:rPr>
        <w:t>provided that no such offer of securities shall require the Issuer or any representative to publish a prospectus pursuant to Article 3 of the Prospectus Regulation or supplement a prospectus pursuant to Article 23 of the Prospectus Regulation.</w:t>
      </w:r>
    </w:p>
    <w:p>
      <w:pPr>
        <w:spacing w:after="0" w:line="170" w:lineRule="exact"/>
        <w:rPr>
          <w:sz w:val="20"/>
          <w:szCs w:val="20"/>
          <w:color w:val="auto"/>
        </w:rPr>
      </w:pPr>
    </w:p>
    <w:p>
      <w:pPr>
        <w:jc w:val="both"/>
        <w:ind w:left="120" w:right="780" w:firstLine="440"/>
        <w:spacing w:after="0" w:line="263" w:lineRule="auto"/>
        <w:rPr>
          <w:sz w:val="20"/>
          <w:szCs w:val="20"/>
          <w:color w:val="auto"/>
        </w:rPr>
      </w:pPr>
      <w:r>
        <w:rPr>
          <w:rFonts w:ascii="Arial" w:cs="Arial" w:eastAsia="Arial" w:hAnsi="Arial"/>
          <w:sz w:val="18"/>
          <w:szCs w:val="18"/>
          <w:color w:val="auto"/>
        </w:rPr>
        <w:t>Each person in a Relevant State who initially acquires any securities or to whom any offer is made will be deemed to have represented, acknowledged and agreed to and with the Company and the representatives that it is a qualified investor within the meaning of the Prospectus Regulation.</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In the case of any securities being offered to a financial intermediary as that term is used in Article 5(1)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76"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We, the representatives and their affiliates will rely upon the truth and accuracy of the foregoing representations, acknowledgements and agreements.</w:t>
      </w:r>
    </w:p>
    <w:p>
      <w:pPr>
        <w:spacing w:after="0" w:line="170"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4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References to the Prospectus Regulation includes, in relation to the UK, the Prospectus Regulation as it forms part of UK domestic law by virtue of the European Union (Withdrawal) Act 2018.</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connection with the offering, the representatives are not acting for anyone other than the issuer and will not be responsible to anyone other than the issuer for providing the protections afforded to their clients nor for providing advice in relation to the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675"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relation to the United Kingdom, or UK, no securities have been offered or will be offered pursuant to the offering to the public in the UK prior to the publication of a prospectus in relation to the securities which has been approved by the Financial Conduct Authority in the UK in accordance with the UK Prospectus Regulation and the FSMA, except that offers of securities may be made to the public in the UK at any time under the following exemptions under the UK Prospectus Regulation and the FSMA:</w:t>
      </w:r>
    </w:p>
    <w:p>
      <w:pPr>
        <w:spacing w:after="0" w:line="92" w:lineRule="exact"/>
        <w:rPr>
          <w:sz w:val="20"/>
          <w:szCs w:val="20"/>
          <w:color w:val="auto"/>
        </w:rPr>
      </w:pPr>
    </w:p>
    <w:p>
      <w:pPr>
        <w:ind w:left="1100" w:hanging="544"/>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30" w:lineRule="exact"/>
        <w:rPr>
          <w:rFonts w:ascii="Arial" w:cs="Arial" w:eastAsia="Arial" w:hAnsi="Arial"/>
          <w:sz w:val="18"/>
          <w:szCs w:val="18"/>
          <w:color w:val="auto"/>
        </w:rPr>
      </w:pPr>
    </w:p>
    <w:p>
      <w:pPr>
        <w:ind w:left="1100" w:right="480" w:hanging="544"/>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100" w:hanging="544"/>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w:t>
      </w:r>
    </w:p>
    <w:p>
      <w:pPr>
        <w:spacing w:after="0" w:line="225"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provided that no such offer of securities shall require the Issuer or any representative to publish a prospectus pursuant to Section 85 of the FSMA or Article 3 of the UK Prospectus Regulation or supplement a prospectus pursuant to Article 23 of the UK Prospectus Regulation.</w:t>
      </w:r>
    </w:p>
    <w:p>
      <w:pPr>
        <w:spacing w:after="0" w:line="146"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Each person in the UK who initially acquires any securities or to whom any offer is made will be deemed to have represented, acknowledged and agreed to and with the Company and the representatives that it is a qualified investor within the meaning of the UK Prospectus Regulation.</w:t>
      </w:r>
    </w:p>
    <w:p>
      <w:pPr>
        <w:spacing w:after="0" w:line="12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the case of any securities being offered to a financial intermediary as that term is used in Article 5(1) of the UK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acknowledgements, and agreements.</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the UK means the communication in any form and by any means of sufficient information on the terms of the offer and any securities to be offered so as to enable an investor to decide to purchase or subscribe for any securities, the expression “UK Prospectus Regulation” means Regulation (EU) 2017/1129 as it forms part of domestic law by virtue of the European Union (Withdrawal) Act 2018 , and the expression “FSMA” means the Financial Services and Markets Act 2000.</w:t>
      </w:r>
    </w:p>
    <w:p>
      <w:pPr>
        <w:spacing w:after="0" w:line="15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675"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6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500" w:firstLine="440"/>
        <w:spacing w:after="0" w:line="259" w:lineRule="auto"/>
        <w:rPr>
          <w:sz w:val="20"/>
          <w:szCs w:val="20"/>
          <w:color w:val="auto"/>
        </w:rPr>
      </w:pPr>
      <w:r>
        <w:rPr>
          <w:rFonts w:ascii="Arial" w:cs="Arial" w:eastAsia="Arial" w:hAnsi="Arial"/>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7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675"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prospectus supplement has not been registered as a prospectus supplement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100" w:right="80" w:hanging="544"/>
        <w:spacing w:after="0" w:line="308"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100" w:right="280" w:hanging="544"/>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675"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within six months after that corporation or that trust has acquired the securities pursuant to an offer made under Section 275 of the SFA except:</w:t>
      </w:r>
    </w:p>
    <w:p>
      <w:pPr>
        <w:spacing w:after="0" w:line="142" w:lineRule="exact"/>
        <w:rPr>
          <w:sz w:val="20"/>
          <w:szCs w:val="20"/>
          <w:color w:val="auto"/>
        </w:rPr>
      </w:pPr>
    </w:p>
    <w:p>
      <w:pPr>
        <w:ind w:left="1100" w:right="140" w:hanging="544"/>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 (i)(B) of the SFA;</w:t>
      </w:r>
    </w:p>
    <w:p>
      <w:pPr>
        <w:spacing w:after="0" w:line="75" w:lineRule="exact"/>
        <w:rPr>
          <w:rFonts w:ascii="Arial" w:cs="Arial" w:eastAsia="Arial" w:hAnsi="Arial"/>
          <w:sz w:val="18"/>
          <w:szCs w:val="18"/>
          <w:color w:val="auto"/>
        </w:rPr>
      </w:pPr>
    </w:p>
    <w:p>
      <w:pPr>
        <w:ind w:left="1100" w:hanging="544"/>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100" w:hanging="544"/>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1100" w:hanging="544"/>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securities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675"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validity of the shares of common stock being offered by this prospectus supplement will be passed upon for us by Reed Smith LLP, Los Angeles, California and New York, New York. Shearman &amp; Sterling LLP, New York, New York is acting as counsel to the underwriters in connection with this offering.</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consolidated financial statements of Caribou Biosciences, Inc. as of December 31, 2022 and 2021, and for each of the two years in the period ended December 31, 2022, incorporated by reference in this prospectus supplement by reference to Caribou Biosciences, Inc.’s Annual Report on Form 10-K for the year ended December 31, 2022,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This prospectus supplement is part of a registration statement on Form S-3 that we filed with the SEC. This prospectus supplement does not contain all of the information included in the registration statement.</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We also maintain a website located at </w:t>
      </w:r>
      <w:r>
        <w:rPr>
          <w:rFonts w:ascii="Arial" w:cs="Arial" w:eastAsia="Arial" w:hAnsi="Arial"/>
          <w:sz w:val="17"/>
          <w:szCs w:val="17"/>
          <w:i w:val="1"/>
          <w:iCs w:val="1"/>
          <w:color w:val="auto"/>
        </w:rPr>
        <w:t>www.cariboubio.com</w:t>
      </w:r>
      <w:r>
        <w:rPr>
          <w:rFonts w:ascii="Arial" w:cs="Arial" w:eastAsia="Arial" w:hAnsi="Arial"/>
          <w:sz w:val="17"/>
          <w:szCs w:val="17"/>
          <w:color w:val="auto"/>
        </w:rPr>
        <w:t>, where these SEC filings and other information about us can be accessed, free of charge, as soon as reasonably practicable after we electronically file the information with, or furnish it to, the SEC. The information contained on or that can be accessed through our website does not constitute part of this prospectus supplement or the accompanying prospectus, except for reports filed with the SEC that are specifically incorporated herein or therein by reference.</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Forms of any documents establishing the terms of the offered securities are filed as exhibits to the registration statement of which this prospectus supplement forms a part or will be filed through an amendment to our registration statement on Form S-3 or under cover of a Current Report on Form 8-K or other document filed with the SEC and incorporated into this prospectus supplement by reference. Statements in this prospectus supplement about these documents are summaries and each statement is qualified in all respects by reference to the document to which it refers. You should refer to the actual documents for a more complete description of the relevant matters. The full registration statement, including exhibits thereto, may be obtained from either the SEC or us as indicated above.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675"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WE INCORPORATE BY REFERENCE</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SEC allows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considered to be part of this prospectus supplement and the accompanying prospectus. Any statement contained in a document incorporated or deemed to be incorporated by reference in this prospectus supplement and the accompanying prospectus will be deemed to be modified or superseded for purposes of this prospectus supplement and the accompanying prospectus to the extent a statement contained in this prospectus supplement, the accompanying prospectus or in any other subsequently filed document that is or is deemed to be incorporated by reference in this prospectus supplement and the accompanying prospectus modifies or supersedes that statement. We incorporate by reference into this prospectus supplement, the accompanying prospectus and the registration statement of which this prospectus supplement forms a part the information or documents listed below (other than Current Reports on Form 8-K or portions thereof furnished under Item 2.02 or Item 7.01 of Form 8-K and exhibits filed or furnished on such form that are related to such items) that we have filed with the SEC (File No. 001-40631):</w:t>
      </w:r>
    </w:p>
    <w:p>
      <w:pPr>
        <w:spacing w:after="0" w:line="74" w:lineRule="exact"/>
        <w:rPr>
          <w:sz w:val="20"/>
          <w:szCs w:val="20"/>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9, 2023;</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5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with the SEC on May 9, 2023;</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56">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28, 2023;</w:t>
      </w:r>
    </w:p>
    <w:p>
      <w:pPr>
        <w:spacing w:after="0" w:line="130" w:lineRule="exact"/>
        <w:rPr>
          <w:rFonts w:ascii="Arial" w:cs="Arial" w:eastAsia="Arial" w:hAnsi="Arial"/>
          <w:sz w:val="18"/>
          <w:szCs w:val="18"/>
          <w:color w:val="auto"/>
        </w:rPr>
      </w:pPr>
    </w:p>
    <w:p>
      <w:pPr>
        <w:jc w:val="both"/>
        <w:ind w:left="1100" w:right="40" w:hanging="433"/>
        <w:spacing w:after="0" w:line="263"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7">
        <w:r>
          <w:rPr>
            <w:rFonts w:ascii="Arial" w:cs="Arial" w:eastAsia="Arial" w:hAnsi="Arial"/>
            <w:sz w:val="18"/>
            <w:szCs w:val="18"/>
            <w:u w:val="single" w:color="auto"/>
            <w:color w:val="0000EE"/>
          </w:rPr>
          <w:t>March 24, 2023</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March 29,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(except for item 7.01), </w:t>
      </w:r>
      <w:hyperlink r:id="rId59">
        <w:r>
          <w:rPr>
            <w:rFonts w:ascii="Arial" w:cs="Arial" w:eastAsia="Arial" w:hAnsi="Arial"/>
            <w:sz w:val="18"/>
            <w:szCs w:val="18"/>
            <w:u w:val="single" w:color="auto"/>
            <w:color w:val="0000EE"/>
          </w:rPr>
          <w:t>March 29,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(except for item 7.01), </w:t>
      </w:r>
      <w:hyperlink r:id="rId60">
        <w:r>
          <w:rPr>
            <w:rFonts w:ascii="Arial" w:cs="Arial" w:eastAsia="Arial" w:hAnsi="Arial"/>
            <w:sz w:val="18"/>
            <w:szCs w:val="18"/>
            <w:u w:val="single" w:color="auto"/>
            <w:color w:val="0000EE"/>
          </w:rPr>
          <w:t>April 4,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(except for item 7.01), </w:t>
      </w:r>
      <w:hyperlink r:id="rId61">
        <w:r>
          <w:rPr>
            <w:rFonts w:ascii="Arial" w:cs="Arial" w:eastAsia="Arial" w:hAnsi="Arial"/>
            <w:sz w:val="18"/>
            <w:szCs w:val="18"/>
            <w:u w:val="single" w:color="auto"/>
            <w:color w:val="0000EE"/>
          </w:rPr>
          <w:t>June 16, 2023</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EE"/>
          </w:rPr>
          <w:t>July 6,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(except for item 7.01), and </w:t>
      </w:r>
      <w:hyperlink r:id="rId63">
        <w:r>
          <w:rPr>
            <w:rFonts w:ascii="Arial" w:cs="Arial" w:eastAsia="Arial" w:hAnsi="Arial"/>
            <w:sz w:val="18"/>
            <w:szCs w:val="18"/>
            <w:u w:val="single" w:color="auto"/>
            <w:color w:val="0000EE"/>
          </w:rPr>
          <w:t>July 13,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(first filing, as amended by our Current Report on Form 8-K/A filed with the SEC on </w:t>
      </w:r>
      <w:hyperlink r:id="rId64">
        <w:r>
          <w:rPr>
            <w:rFonts w:ascii="Arial" w:cs="Arial" w:eastAsia="Arial" w:hAnsi="Arial"/>
            <w:sz w:val="18"/>
            <w:szCs w:val="18"/>
            <w:u w:val="single" w:color="auto"/>
            <w:color w:val="0000EE"/>
          </w:rPr>
          <w:t>July 14, 2023</w:t>
        </w:r>
      </w:hyperlink>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1100" w:right="100" w:hanging="433"/>
        <w:spacing w:after="0" w:line="263"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5">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July 19, 2021, as updated by the description of our common stock contained in </w:t>
      </w:r>
      <w:hyperlink r:id="rId66">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year ended December 31, 2022, and any amendments or reports filed for the purposes of updating this description.</w:t>
      </w:r>
    </w:p>
    <w:p>
      <w:pPr>
        <w:spacing w:after="0" w:line="184" w:lineRule="exact"/>
        <w:rPr>
          <w:rFonts w:ascii="Arial" w:cs="Arial" w:eastAsia="Arial" w:hAnsi="Arial"/>
          <w:sz w:val="18"/>
          <w:szCs w:val="18"/>
          <w:color w:val="auto"/>
        </w:rPr>
      </w:pPr>
    </w:p>
    <w:p>
      <w:pPr>
        <w:ind w:left="120" w:firstLine="440"/>
        <w:spacing w:after="0" w:line="287" w:lineRule="auto"/>
        <w:rPr>
          <w:sz w:val="20"/>
          <w:szCs w:val="20"/>
          <w:color w:val="auto"/>
        </w:rPr>
      </w:pPr>
      <w:r>
        <w:rPr>
          <w:rFonts w:ascii="Arial" w:cs="Arial" w:eastAsia="Arial" w:hAnsi="Arial"/>
          <w:sz w:val="16"/>
          <w:szCs w:val="16"/>
          <w:color w:val="auto"/>
        </w:rPr>
        <w:t>We also incorporate by reference the information contained in all other documents that we file with the SEC pursuant to Sections 13(a), 13(c), 14, or 15(d) of the Exchange Act (other than the portions that are deemed to have been furnished and not filed in accordance with SEC rules and exhibits that are related to such items, unless otherwise indicated therein), on or after the date of this prospectus supplement and prior to the completion of the offering of all securities under this prospectus supplement. The information contained in any such document will be considered part of this prospectus supplement from the date the document is filed with the SEC. Any statement contained in a document incorporated or deemed to be incorporated by reference herein shall be deemed to be modified or superseded for purposes of this prospectus supplement and accompanying prospectus to the extent that a statement contained herein or therein or in any other subsequently filed document, which also is or is deemed to be incorporated by reference herein or therein modifies or supersedes such statement. Any such statement so modified or superseded shall not be deemed, except as so modified or superseded, to constitute a part of this prospectus supplement and the accompanying prospectus. We will provide to each person, including any beneficial owner, to whom a prospectus supplement (or a notice of registration in lieu thereof) is delivered, a copy of any or all of the documents incorporated by reference in this prospectus supplement (other than an exhibit to these filings, unless the exhibit is specifically incorporated by reference in the document requested) at no cost. Any such request can be made by writing or telephoning us at the following address and telephone number:</w:t>
      </w:r>
    </w:p>
    <w:p>
      <w:pPr>
        <w:spacing w:after="0" w:line="168"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Caribou Biosciences,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2929 7th Street, Suite 105</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Berkeley, California 94710</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Attention: Chief Legal Officer</w:t>
      </w:r>
    </w:p>
    <w:p>
      <w:pPr>
        <w:spacing w:after="0" w:line="9" w:lineRule="exact"/>
        <w:rPr>
          <w:rFonts w:ascii="Arial" w:cs="Arial" w:eastAsia="Arial" w:hAnsi="Arial"/>
          <w:sz w:val="18"/>
          <w:szCs w:val="18"/>
          <w:color w:val="auto"/>
        </w:rPr>
      </w:pPr>
    </w:p>
    <w:p>
      <w:pPr>
        <w:ind w:left="5460" w:right="4940" w:hanging="398"/>
        <w:spacing w:after="0" w:line="517" w:lineRule="auto"/>
        <w:tabs>
          <w:tab w:leader="none" w:pos="5502" w:val="left"/>
        </w:tabs>
        <w:numPr>
          <w:ilvl w:val="0"/>
          <w:numId w:val="21"/>
        </w:numPr>
        <w:rPr>
          <w:rFonts w:ascii="Arial" w:cs="Arial" w:eastAsia="Arial" w:hAnsi="Arial"/>
          <w:sz w:val="16"/>
          <w:szCs w:val="16"/>
          <w:color w:val="auto"/>
        </w:rPr>
      </w:pPr>
      <w:r>
        <w:rPr>
          <w:rFonts w:ascii="Arial" w:cs="Arial" w:eastAsia="Arial" w:hAnsi="Arial"/>
          <w:sz w:val="16"/>
          <w:szCs w:val="16"/>
          <w:color w:val="auto"/>
        </w:rPr>
        <w:t>982-6030 S-29</w:t>
      </w:r>
    </w:p>
    <w:p>
      <w:pPr>
        <w:sectPr>
          <w:pgSz w:w="11900" w:h="16838" w:orient="portrait"/>
          <w:cols w:equalWidth="0" w:num="1">
            <w:col w:w="11120"/>
          </w:cols>
          <w:pgMar w:left="320" w:top="675"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171450</wp:posOffset>
            </wp:positionV>
            <wp:extent cx="2537460" cy="651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25374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$400,000,000</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Rights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From time to time, we may offer to sell the securities described in this prospectus separately or together in any combination, in one or more classes or series, in amounts, at prices, and on terms to be determined at the time of any such offering. The aggregate offering price of the securities we sell pursuant to this prospectus will not exceed $400,000,000.</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This prospectus provides a general description of the securities that we may offer. Each time any securities are offered pursuant to this prospectus, we will provide specific information about the offered securities in one or more supplements to this prospectus.</w:t>
      </w:r>
    </w:p>
    <w:p>
      <w:pPr>
        <w:spacing w:after="0" w:line="17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Prospectus supplements may also add, update or change information in this prospectus. If the information varies between this prospectus and any accompanying prospectus supplement, you should rely on the information in the prospectus supplement.</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“CRBU.” Any prospectus supplement will indicate if the securities offered thereby will be listed on any securities exchange.</w:t>
      </w:r>
    </w:p>
    <w:p>
      <w:pPr>
        <w:spacing w:after="0" w:line="170"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You should carefully read this prospectus and any applicable prospectus supplement, together with the documents we incorporate by reference, before you invest in our securities. This prospectus may not be used to offer and sell our securities unless accompanied by a prospectus supplement describing the method and 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spacing w:after="0" w:line="300" w:lineRule="auto"/>
        <w:rPr>
          <w:sz w:val="20"/>
          <w:szCs w:val="20"/>
          <w:color w:val="auto"/>
        </w:rPr>
      </w:pPr>
      <w:r>
        <w:rPr>
          <w:rFonts w:ascii="Arial" w:cs="Arial" w:eastAsia="Arial" w:hAnsi="Arial"/>
          <w:sz w:val="19"/>
          <w:szCs w:val="19"/>
          <w:b w:val="1"/>
          <w:bCs w:val="1"/>
          <w:color w:val="auto"/>
        </w:rPr>
        <w:t>Investing in any of our securities involves a high degree of risk. Please read carefully the section entitled “</w:t>
      </w:r>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color w:val="auto"/>
        </w:rPr>
        <w:t>” on page 8 of this prospectus and the “Risk Factors” section contained in any applicable prospectus supplement and in the documents incorporated by reference in this prospectus before investing in our securities.</w:t>
      </w:r>
    </w:p>
    <w:p>
      <w:pPr>
        <w:spacing w:after="0" w:line="135" w:lineRule="exact"/>
        <w:rPr>
          <w:sz w:val="20"/>
          <w:szCs w:val="20"/>
          <w:color w:val="auto"/>
        </w:rPr>
      </w:pPr>
    </w:p>
    <w:p>
      <w:pPr>
        <w:ind w:left="120" w:right="400"/>
        <w:spacing w:after="0" w:line="282" w:lineRule="auto"/>
        <w:rPr>
          <w:sz w:val="20"/>
          <w:szCs w:val="20"/>
          <w:color w:val="auto"/>
        </w:rPr>
      </w:pPr>
      <w:r>
        <w:rPr>
          <w:rFonts w:ascii="Arial" w:cs="Arial" w:eastAsia="Arial" w:hAnsi="Arial"/>
          <w:sz w:val="18"/>
          <w:szCs w:val="18"/>
          <w:b w:val="1"/>
          <w:bCs w:val="1"/>
          <w:color w:val="auto"/>
        </w:rPr>
        <w:t>We are an “emerging growth company” under applicable Securities and Exchange Commission rules and, as such, are eligible for reduced public company reporting requirements.</w:t>
      </w:r>
    </w:p>
    <w:p>
      <w:pPr>
        <w:spacing w:after="0" w:line="162" w:lineRule="exact"/>
        <w:rPr>
          <w:sz w:val="20"/>
          <w:szCs w:val="20"/>
          <w:color w:val="auto"/>
        </w:rPr>
      </w:pPr>
    </w:p>
    <w:p>
      <w:pPr>
        <w:ind w:left="120" w:right="56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August 16, 2022</w:t>
      </w:r>
    </w:p>
    <w:p>
      <w:pPr>
        <w:sectPr>
          <w:pgSz w:w="11900" w:h="16838" w:orient="portrait"/>
          <w:cols w:equalWidth="0" w:num="1">
            <w:col w:w="11100"/>
          </w:cols>
          <w:pgMar w:left="320" w:top="675"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100" w:type="dxa"/>
            <w:vAlign w:val="bottom"/>
            <w:gridSpan w:val="2"/>
          </w:tcPr>
          <w:p>
            <w:pPr>
              <w:jc w:val="right"/>
              <w:ind w:right="443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640" w:type="dxa"/>
            <w:vAlign w:val="bottom"/>
            <w:gridSpan w:val="8"/>
            <w:vMerge w:val="restart"/>
          </w:tcPr>
          <w:p>
            <w:pPr>
              <w:spacing w:after="0"/>
              <w:rPr>
                <w:sz w:val="20"/>
                <w:szCs w:val="20"/>
                <w:color w:val="auto"/>
              </w:rPr>
            </w:pPr>
            <w:r>
              <w:rPr>
                <w:rFonts w:ascii="Arial" w:cs="Arial" w:eastAsia="Arial" w:hAnsi="Arial"/>
                <w:sz w:val="18"/>
                <w:szCs w:val="18"/>
                <w:color w:val="0000EE"/>
                <w:w w:val="89"/>
              </w:rPr>
              <w:t>About This Prospectus</w:t>
            </w:r>
          </w:p>
        </w:tc>
        <w:tc>
          <w:tcPr>
            <w:tcW w:w="2240" w:type="dxa"/>
            <w:vAlign w:val="bottom"/>
            <w:gridSpan w:val="7"/>
            <w:vMerge w:val="restart"/>
          </w:tcPr>
          <w:p>
            <w:pPr>
              <w:spacing w:after="0"/>
              <w:rPr>
                <w:sz w:val="24"/>
                <w:szCs w:val="24"/>
                <w:color w:val="auto"/>
              </w:rPr>
            </w:pPr>
          </w:p>
        </w:tc>
        <w:tc>
          <w:tcPr>
            <w:tcW w:w="71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640" w:type="dxa"/>
            <w:vAlign w:val="bottom"/>
            <w:tcBorders>
              <w:bottom w:val="single" w:sz="8" w:color="0000EE"/>
            </w:tcBorders>
            <w:gridSpan w:val="8"/>
            <w:vMerge w:val="continue"/>
          </w:tcPr>
          <w:p>
            <w:pPr>
              <w:spacing w:after="0"/>
              <w:rPr>
                <w:sz w:val="14"/>
                <w:szCs w:val="14"/>
                <w:color w:val="auto"/>
              </w:rPr>
            </w:pPr>
          </w:p>
        </w:tc>
        <w:tc>
          <w:tcPr>
            <w:tcW w:w="2240" w:type="dxa"/>
            <w:vAlign w:val="bottom"/>
            <w:gridSpan w:val="7"/>
            <w:vMerge w:val="continue"/>
          </w:tcPr>
          <w:p>
            <w:pPr>
              <w:spacing w:after="0"/>
              <w:rPr>
                <w:sz w:val="14"/>
                <w:szCs w:val="14"/>
                <w:color w:val="auto"/>
              </w:rPr>
            </w:pPr>
          </w:p>
        </w:tc>
        <w:tc>
          <w:tcPr>
            <w:tcW w:w="68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880" w:type="dxa"/>
            <w:vAlign w:val="bottom"/>
            <w:gridSpan w:val="15"/>
          </w:tcPr>
          <w:p>
            <w:pPr>
              <w:spacing w:after="0" w:line="196" w:lineRule="exact"/>
              <w:rPr>
                <w:sz w:val="20"/>
                <w:szCs w:val="20"/>
                <w:color w:val="auto"/>
              </w:rPr>
            </w:pPr>
            <w:r>
              <w:rPr>
                <w:rFonts w:ascii="Arial" w:cs="Arial" w:eastAsia="Arial" w:hAnsi="Arial"/>
                <w:sz w:val="18"/>
                <w:szCs w:val="18"/>
                <w:color w:val="0000EE"/>
              </w:rPr>
              <w:t>Where You Can Find Additional Information</w:t>
            </w: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22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6"/>
              </w:rPr>
              <w:t>Information We Incorporate by Reference</w:t>
            </w:r>
          </w:p>
        </w:tc>
        <w:tc>
          <w:tcPr>
            <w:tcW w:w="660" w:type="dxa"/>
            <w:vAlign w:val="bottom"/>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0"/>
              </w:rPr>
              <w:t>Special Note Regarding Forward-Looking Statements</w:t>
            </w: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0"/>
              </w:rPr>
              <w:t>About Caribou Biosciences, Inc.</w:t>
            </w:r>
          </w:p>
        </w:tc>
        <w:tc>
          <w:tcPr>
            <w:tcW w:w="1540" w:type="dxa"/>
            <w:vAlign w:val="bottom"/>
            <w:gridSpan w:val="3"/>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880" w:type="dxa"/>
            <w:vAlign w:val="bottom"/>
            <w:gridSpan w:val="15"/>
          </w:tcPr>
          <w:p>
            <w:pPr>
              <w:spacing w:after="0" w:line="196" w:lineRule="exact"/>
              <w:rPr>
                <w:sz w:val="20"/>
                <w:szCs w:val="20"/>
                <w:color w:val="auto"/>
              </w:rPr>
            </w:pPr>
            <w:r>
              <w:rPr>
                <w:rFonts w:ascii="Arial" w:cs="Arial" w:eastAsia="Arial" w:hAnsi="Arial"/>
                <w:sz w:val="18"/>
                <w:szCs w:val="18"/>
                <w:color w:val="0000EE"/>
              </w:rPr>
              <w:t>Risk Factors</w:t>
            </w: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15"/>
          </w:tcPr>
          <w:p>
            <w:pPr>
              <w:spacing w:after="0" w:line="196" w:lineRule="exact"/>
              <w:rPr>
                <w:sz w:val="20"/>
                <w:szCs w:val="20"/>
                <w:color w:val="auto"/>
              </w:rPr>
            </w:pPr>
            <w:r>
              <w:rPr>
                <w:rFonts w:ascii="Arial" w:cs="Arial" w:eastAsia="Arial" w:hAnsi="Arial"/>
                <w:sz w:val="18"/>
                <w:szCs w:val="18"/>
                <w:color w:val="0000EE"/>
              </w:rPr>
              <w:t>Use of Proceeds</w:t>
            </w: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15"/>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1700" w:type="dxa"/>
            <w:vAlign w:val="bottom"/>
            <w:gridSpan w:val="4"/>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Description of Warrants</w:t>
            </w:r>
          </w:p>
        </w:tc>
        <w:tc>
          <w:tcPr>
            <w:tcW w:w="2160" w:type="dxa"/>
            <w:vAlign w:val="bottom"/>
            <w:gridSpan w:val="6"/>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3880" w:type="dxa"/>
            <w:vAlign w:val="bottom"/>
            <w:gridSpan w:val="15"/>
          </w:tcPr>
          <w:p>
            <w:pPr>
              <w:spacing w:after="0" w:line="196" w:lineRule="exact"/>
              <w:rPr>
                <w:sz w:val="20"/>
                <w:szCs w:val="20"/>
                <w:color w:val="auto"/>
              </w:rPr>
            </w:pPr>
            <w:r>
              <w:rPr>
                <w:rFonts w:ascii="Arial" w:cs="Arial" w:eastAsia="Arial" w:hAnsi="Arial"/>
                <w:sz w:val="18"/>
                <w:szCs w:val="18"/>
                <w:color w:val="0000EE"/>
              </w:rPr>
              <w:t>Description of Rights</w:t>
            </w: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5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7"/>
              </w:rPr>
              <w:t>Description of Units</w:t>
            </w:r>
          </w:p>
        </w:tc>
        <w:tc>
          <w:tcPr>
            <w:tcW w:w="2340" w:type="dxa"/>
            <w:vAlign w:val="bottom"/>
            <w:gridSpan w:val="8"/>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5"/>
              </w:rPr>
              <w:t>Plan of Distribution</w:t>
            </w:r>
          </w:p>
        </w:tc>
        <w:tc>
          <w:tcPr>
            <w:tcW w:w="2420" w:type="dxa"/>
            <w:vAlign w:val="bottom"/>
            <w:gridSpan w:val="9"/>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Legal Matters</w:t>
            </w:r>
          </w:p>
        </w:tc>
        <w:tc>
          <w:tcPr>
            <w:tcW w:w="2460" w:type="dxa"/>
            <w:vAlign w:val="bottom"/>
            <w:gridSpan w:val="10"/>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2880" w:type="dxa"/>
            <w:vAlign w:val="bottom"/>
            <w:gridSpan w:val="12"/>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675"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registration process, we may, from time to time, sell any combination of the securities described in this prospectus in one or more offerings.</w:t>
      </w:r>
    </w:p>
    <w:p>
      <w:pPr>
        <w:spacing w:after="0" w:line="184"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This prospectus provides you with a general description of the securities that may be offered pursuant to the registration statement of which this prospectus forms a part. Each time we sell securities pursuant to the registration statement of which this prospectus forms a part, a prospectus supplement will be provided that contains specific information about the terms of that offering and the securities being sold in that offering. The prospectus supplement may also add to, update or change the information contained in or incorporated by reference in this prospectus. If information varies between this prospectus and any prospectus supplement, you should rely on the information in the prospectus supplement.</w:t>
      </w:r>
    </w:p>
    <w:p>
      <w:pPr>
        <w:spacing w:after="0" w:line="16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You should only rely on the information contained in or incorporated by reference in this prospectus, any prospectus supplement and any free writing prospectus prepared by or on behalf of us or to which we have referred you. We have not authorized anyone to provide you with different information. We take no responsibility for, and can provide no assurance as to the reliability of, any other information that others may give you. If anyone provides you with different or inconsistent information, you should not rely on it. We are not making offers to sell the securities described in this prospectus in any jurisdiction in which an offer or solicitation is not authorized or in which the person making such offer or solicitation is not qualified to do so or to anyone to whom it is unlawful to make an offer or solicitation.</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Before purchasing any securities, you should carefully read both this prospectus and any prospectus supplement, together with the additional information described under the heading “Where You Can Find Additional Information” and “Information We Incorporate by Reference.” You should assume that the information contained in this prospectus, any prospectus supplement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materially since those dates.</w:t>
      </w:r>
    </w:p>
    <w:p>
      <w:pPr>
        <w:spacing w:after="0" w:line="16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References in this prospectus to the terms “we,” “us,” “our,” “the Company,” or other similar terms refer to Caribou Biosciences, Inc., a Delaware corporation, together with its consolidated subsidiaries.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675"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This prospectus is part of a registration statement on Form S-3 that we filed with the SEC. This prospectus does not contain all of the information included in the registration statement.</w:t>
      </w:r>
    </w:p>
    <w:p>
      <w:pPr>
        <w:spacing w:after="0" w:line="170"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We also maintain a website located at </w:t>
      </w:r>
      <w:r>
        <w:rPr>
          <w:rFonts w:ascii="Arial" w:cs="Arial" w:eastAsia="Arial" w:hAnsi="Arial"/>
          <w:sz w:val="16"/>
          <w:szCs w:val="16"/>
          <w:i w:val="1"/>
          <w:iCs w:val="1"/>
          <w:u w:val="single" w:color="auto"/>
          <w:color w:val="auto"/>
        </w:rPr>
        <w:t>www.cariboubio.com</w:t>
      </w:r>
      <w:r>
        <w:rPr>
          <w:rFonts w:ascii="Arial" w:cs="Arial" w:eastAsia="Arial" w:hAnsi="Arial"/>
          <w:sz w:val="16"/>
          <w:szCs w:val="16"/>
          <w:i w:val="1"/>
          <w:iCs w:val="1"/>
          <w:color w:val="auto"/>
        </w:rPr>
        <w:t>,</w:t>
      </w:r>
      <w:r>
        <w:rPr>
          <w:rFonts w:ascii="Arial" w:cs="Arial" w:eastAsia="Arial" w:hAnsi="Arial"/>
          <w:sz w:val="16"/>
          <w:szCs w:val="16"/>
          <w:color w:val="auto"/>
        </w:rPr>
        <w:t xml:space="preserve"> where these SEC filings and other information about our Company can be accessed, free of charge, as soon as reasonably practicable after we electronically file the information with, or furnish it to, the SEC.</w:t>
      </w:r>
    </w:p>
    <w:p>
      <w:pPr>
        <w:spacing w:after="0" w:line="2"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The information contained on or that can be accessed through our website does not constitute part of this prospectus, except for reports filed with the SEC that are specifically incorporated herein by reference.</w:t>
      </w:r>
    </w:p>
    <w:p>
      <w:pPr>
        <w:spacing w:after="0" w:line="18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Forms of any documents establishing the terms of the offered securities are filed as exhibits to the registration statement of which this prospectus forms a part or will be filed through an amendment to our registration statement on Form S-3 or under cover of a Current Report on Form 8-K or other document filed with the SEC and incorporated into this prospectus by reference. Statements in this prospectus about these documents are summaries and each statement is qualified in all respects by reference to the document to which it refers. You should refer to the actual documents for a more complete description of the relevant matters. The full registration statement, including exhibits thereto, may be obtained from either the SEC or us as indicated above.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675"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WE INCORPORATE BY REFERENCE</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Any statement contained in a document incorporated or deemed to be incorporated by reference in this prospectus will be deemed to be modified or superseded for purposes of this prospectus to the extent a statement contained in this prospectus or in any other subsequently filed document that is or is deemed to be incorporated by reference in this prospectus modifies or supersedes that statement. We incorporate by reference into this prospectus and the registration statement of which this prospectus is a part the information or documents listed below (other than Current Reports on Form 8-K or portions thereof furnished under Item 2.02 or Item 7.01 of Form 8-K and exhibits filed or furnished on such form that are related to such items) that we have filed with the SEC (File No. 001-40631):</w:t>
      </w:r>
    </w:p>
    <w:p>
      <w:pPr>
        <w:spacing w:after="0" w:line="84" w:lineRule="exact"/>
        <w:rPr>
          <w:sz w:val="20"/>
          <w:szCs w:val="20"/>
          <w:color w:val="auto"/>
        </w:rPr>
      </w:pPr>
    </w:p>
    <w:p>
      <w:pPr>
        <w:ind w:left="1100" w:hanging="43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7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March 21, 2022;</w:t>
      </w:r>
    </w:p>
    <w:p>
      <w:pPr>
        <w:spacing w:after="0" w:line="130"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22"/>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2022 and June 30, 2022, filed with the SEC on </w:t>
      </w:r>
      <w:hyperlink r:id="rId77">
        <w:r>
          <w:rPr>
            <w:rFonts w:ascii="Arial" w:cs="Arial" w:eastAsia="Arial" w:hAnsi="Arial"/>
            <w:sz w:val="18"/>
            <w:szCs w:val="18"/>
            <w:u w:val="single" w:color="auto"/>
            <w:color w:val="0000EE"/>
          </w:rPr>
          <w:t>May 9,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8">
        <w:r>
          <w:rPr>
            <w:rFonts w:ascii="Arial" w:cs="Arial" w:eastAsia="Arial" w:hAnsi="Arial"/>
            <w:sz w:val="18"/>
            <w:szCs w:val="18"/>
            <w:u w:val="single" w:color="auto"/>
            <w:color w:val="0000EE"/>
          </w:rPr>
          <w:t>August 9,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100" w:right="160" w:hanging="433"/>
        <w:spacing w:after="0" w:line="263"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Current Reports on Form 8-K and 8-K/A filed with the SEC on </w:t>
      </w:r>
      <w:hyperlink r:id="rId79">
        <w:r>
          <w:rPr>
            <w:rFonts w:ascii="Arial" w:cs="Arial" w:eastAsia="Arial" w:hAnsi="Arial"/>
            <w:sz w:val="18"/>
            <w:szCs w:val="18"/>
            <w:u w:val="single" w:color="auto"/>
            <w:color w:val="0000EE"/>
          </w:rPr>
          <w:t>January 18, 2022</w:t>
        </w:r>
      </w:hyperlink>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EE"/>
          </w:rPr>
          <w:t>January 19, 2022</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EE"/>
          </w:rPr>
          <w:t>May 11,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(except for item 7.01), </w:t>
      </w:r>
      <w:hyperlink r:id="rId82">
        <w:r>
          <w:rPr>
            <w:rFonts w:ascii="Arial" w:cs="Arial" w:eastAsia="Arial" w:hAnsi="Arial"/>
            <w:sz w:val="18"/>
            <w:szCs w:val="18"/>
            <w:u w:val="single" w:color="auto"/>
            <w:color w:val="0000EE"/>
          </w:rPr>
          <w:t>May 12,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(except for item 7.01), </w:t>
      </w:r>
      <w:hyperlink r:id="rId83">
        <w:r>
          <w:rPr>
            <w:rFonts w:ascii="Arial" w:cs="Arial" w:eastAsia="Arial" w:hAnsi="Arial"/>
            <w:sz w:val="18"/>
            <w:szCs w:val="18"/>
            <w:u w:val="single" w:color="auto"/>
            <w:color w:val="0000EE"/>
          </w:rPr>
          <w:t>June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(except for item 7.01), </w:t>
      </w:r>
      <w:hyperlink r:id="rId84">
        <w:r>
          <w:rPr>
            <w:rFonts w:ascii="Arial" w:cs="Arial" w:eastAsia="Arial" w:hAnsi="Arial"/>
            <w:sz w:val="18"/>
            <w:szCs w:val="18"/>
            <w:u w:val="single" w:color="auto"/>
            <w:color w:val="0000EE"/>
          </w:rPr>
          <w:t>July 15, 2022</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EE"/>
          </w:rPr>
          <w:t>July 18, 2022</w:t>
        </w:r>
      </w:hyperlink>
      <w:r>
        <w:rPr>
          <w:rFonts w:ascii="Arial" w:cs="Arial" w:eastAsia="Arial" w:hAnsi="Arial"/>
          <w:sz w:val="18"/>
          <w:szCs w:val="18"/>
          <w:color w:val="auto"/>
        </w:rPr>
        <w:t xml:space="preserve">, and </w:t>
      </w:r>
      <w:hyperlink r:id="rId86">
        <w:r>
          <w:rPr>
            <w:rFonts w:ascii="Arial" w:cs="Arial" w:eastAsia="Arial" w:hAnsi="Arial"/>
            <w:sz w:val="18"/>
            <w:szCs w:val="18"/>
            <w:u w:val="single" w:color="auto"/>
            <w:color w:val="0000EE"/>
          </w:rPr>
          <w:t>August 9, 2022</w:t>
        </w:r>
      </w:hyperlink>
      <w:r>
        <w:rPr>
          <w:rFonts w:ascii="Arial" w:cs="Arial" w:eastAsia="Arial" w:hAnsi="Arial"/>
          <w:sz w:val="18"/>
          <w:szCs w:val="18"/>
          <w:color w:val="auto"/>
        </w:rPr>
        <w:t xml:space="preserve"> (except for item 2.02); and</w:t>
      </w:r>
    </w:p>
    <w:p>
      <w:pPr>
        <w:spacing w:after="0" w:line="89" w:lineRule="exact"/>
        <w:rPr>
          <w:rFonts w:ascii="Arial" w:cs="Arial" w:eastAsia="Arial" w:hAnsi="Arial"/>
          <w:sz w:val="18"/>
          <w:szCs w:val="18"/>
          <w:color w:val="auto"/>
        </w:rPr>
      </w:pPr>
    </w:p>
    <w:p>
      <w:pPr>
        <w:ind w:left="1100" w:right="100" w:hanging="433"/>
        <w:spacing w:after="0" w:line="263"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87">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July 19, 2021, as updated by the description of our common stock contained in </w:t>
      </w:r>
      <w:hyperlink r:id="rId88">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year ended December 31, 2021, and any amendments or reports filed for the purposes of updating this description.</w:t>
      </w:r>
    </w:p>
    <w:p>
      <w:pPr>
        <w:spacing w:after="0" w:line="184" w:lineRule="exact"/>
        <w:rPr>
          <w:rFonts w:ascii="Arial" w:cs="Arial" w:eastAsia="Arial" w:hAnsi="Arial"/>
          <w:sz w:val="18"/>
          <w:szCs w:val="18"/>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We also incorporate by reference the information contained in all other documents that we file with the SEC pursuant to Sections 13(a), 13(c), 14, or 15(d) of the Securities Exchange Act of 1934, as amended, or the Exchange Act (other than the portions that are deemed to have been furnished and not filed in accordance with SEC rules, unless otherwise indicated therein), on or after the date of the registration statement of which this prospectus forms a part and prior to its effectiveness and prior to the completion of the offering of all securities under this prospectus and any prospectus supplement. The information contained in any such document will be considered part of this prospectus from the date the document is filed with the SEC. Any statement contained in a document incorporated or deemed to be incorporated by reference herein shall be deemed to be modified or superseded for purposes of this prospectus and any accompanying prospectus supplement to the extent that a statement contained herein or therein or in any other subsequently filed document, which also is or is deemed to be incorporated by reference herein or therein modifies or supersedes such statement. Any such statement so modified or superseded shall not be deemed, except as so modified or superseded, to constitute a part of this prospectus or any accompanying prospectus supplement. We will provide to each person, including any beneficial owner, to whom a prospectus (or a notice of registration in lieu thereof) is delivered, a copy of any or all of the documents incorporated by reference in this prospectus or any accompanying prospectus supplement (other than an exhibit to these filings, unless the exhibit is specifically incorporated by reference in the document requested) at no cost. Any such request can be made by writing or telephoning us at the following address and telephone number:</w:t>
      </w:r>
    </w:p>
    <w:p>
      <w:pPr>
        <w:spacing w:after="0" w:line="174"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Caribou Biosciences,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2929 7th Street, Suite 105</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Berkeley, California 94710</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Attention: Chief Legal Officer</w:t>
      </w:r>
    </w:p>
    <w:p>
      <w:pPr>
        <w:spacing w:after="0" w:line="9" w:lineRule="exact"/>
        <w:rPr>
          <w:rFonts w:ascii="Arial" w:cs="Arial" w:eastAsia="Arial" w:hAnsi="Arial"/>
          <w:sz w:val="18"/>
          <w:szCs w:val="18"/>
          <w:color w:val="auto"/>
        </w:rPr>
      </w:pPr>
    </w:p>
    <w:p>
      <w:pPr>
        <w:ind w:left="5520" w:right="4940" w:hanging="458"/>
        <w:spacing w:after="0" w:line="472" w:lineRule="auto"/>
        <w:tabs>
          <w:tab w:leader="none" w:pos="5497" w:val="left"/>
        </w:tabs>
        <w:numPr>
          <w:ilvl w:val="0"/>
          <w:numId w:val="23"/>
        </w:numPr>
        <w:rPr>
          <w:rFonts w:ascii="Arial" w:cs="Arial" w:eastAsia="Arial" w:hAnsi="Arial"/>
          <w:sz w:val="17"/>
          <w:szCs w:val="17"/>
          <w:color w:val="auto"/>
        </w:rPr>
      </w:pPr>
      <w:r>
        <w:rPr>
          <w:rFonts w:ascii="Arial" w:cs="Arial" w:eastAsia="Arial" w:hAnsi="Arial"/>
          <w:sz w:val="17"/>
          <w:szCs w:val="17"/>
          <w:color w:val="auto"/>
        </w:rPr>
        <w:t>982-6030 -3-</w:t>
      </w:r>
    </w:p>
    <w:p>
      <w:pPr>
        <w:sectPr>
          <w:pgSz w:w="11900" w:h="16838" w:orient="portrait"/>
          <w:cols w:equalWidth="0" w:num="1">
            <w:col w:w="11120"/>
          </w:cols>
          <w:pgMar w:left="320" w:top="675"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All statements other than statements of historical facts contained in this prospectus, or incorporated by reference herein, including: statements regarding our business strategy, plans, and objectives; expectations regarding our clinical and preclinical development programs, including our timing expectations with respect to such programs and the expected timing of disclosure of data from such programs; future regulatory filings; our results of operations and financial position; plans and objectives of management for future operations; and the like,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71" w:lineRule="exact"/>
        <w:rPr>
          <w:sz w:val="20"/>
          <w:szCs w:val="20"/>
          <w:color w:val="auto"/>
        </w:rPr>
      </w:pPr>
    </w:p>
    <w:p>
      <w:pPr>
        <w:ind w:left="1100" w:right="20" w:hanging="433"/>
        <w:spacing w:after="0" w:line="259"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expectations regarding the initiation, timing, progress, and results of our product candidate preclinical studies, clinical trials, and research programs including, without limitation, our timing expectations relating to the release of additional data from our ANTLER phase 1 clinical trial for CB-010, the submission of our investigational new drug, or IND, applications for CB-011 and CB-012, and our target selection for CB-020;</w:t>
      </w:r>
    </w:p>
    <w:p>
      <w:pPr>
        <w:spacing w:after="0" w:line="92" w:lineRule="exact"/>
        <w:rPr>
          <w:rFonts w:ascii="Arial" w:cs="Arial" w:eastAsia="Arial" w:hAnsi="Arial"/>
          <w:sz w:val="18"/>
          <w:szCs w:val="18"/>
          <w:color w:val="auto"/>
        </w:rPr>
      </w:pPr>
    </w:p>
    <w:p>
      <w:pPr>
        <w:ind w:left="1100" w:hanging="433"/>
        <w:spacing w:after="0" w:line="263"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likelihood of our clinical trials demonstrating safety and efficacy of our product candidates as well as the risk that initial, interim, or preliminary clinical trial data will not ultimately be predictive of the safety and efficacy of our product candidates or that clinical outcomes may differ as more patient data become available;</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 for our product candidates;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successfully develop our product candidates and to obtain and maintain regulatory approval for our product candidates;</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beneficial characteristics, therapeutic effects, and potential advantages of our product candidates;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strategic plans for our business, product candidates, research programs, and technologies;</w:t>
      </w:r>
    </w:p>
    <w:p>
      <w:pPr>
        <w:spacing w:after="0" w:line="130" w:lineRule="exact"/>
        <w:rPr>
          <w:rFonts w:ascii="Arial" w:cs="Arial" w:eastAsia="Arial" w:hAnsi="Arial"/>
          <w:sz w:val="18"/>
          <w:szCs w:val="18"/>
          <w:color w:val="auto"/>
        </w:rPr>
      </w:pPr>
    </w:p>
    <w:p>
      <w:pPr>
        <w:ind w:left="1100" w:right="120" w:hanging="433"/>
        <w:spacing w:after="0" w:line="277"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genome-editing technology;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anticipated developments related to our competitors and our industry;</w:t>
      </w:r>
    </w:p>
    <w:p>
      <w:pPr>
        <w:spacing w:after="0" w:line="130" w:lineRule="exact"/>
        <w:rPr>
          <w:rFonts w:ascii="Arial" w:cs="Arial" w:eastAsia="Arial" w:hAnsi="Arial"/>
          <w:sz w:val="18"/>
          <w:szCs w:val="18"/>
          <w:color w:val="auto"/>
        </w:rPr>
      </w:pPr>
    </w:p>
    <w:p>
      <w:pPr>
        <w:ind w:left="1100" w:right="700" w:hanging="433"/>
        <w:spacing w:after="0" w:line="277"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estimates regarding the sufficiency of our existing capital resources to fund our future operating expenses and capital expenditure requirements; and</w:t>
      </w:r>
    </w:p>
    <w:p>
      <w:pPr>
        <w:spacing w:after="0" w:line="75" w:lineRule="exact"/>
        <w:rPr>
          <w:rFonts w:ascii="Arial" w:cs="Arial" w:eastAsia="Arial" w:hAnsi="Arial"/>
          <w:sz w:val="18"/>
          <w:szCs w:val="18"/>
          <w:color w:val="auto"/>
        </w:rPr>
      </w:pPr>
    </w:p>
    <w:p>
      <w:pPr>
        <w:ind w:left="1100" w:right="400" w:hanging="433"/>
        <w:spacing w:after="0" w:line="277"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anticipated use of net proceeds from this offering, as well as our existing resources, capital requirements, and needs for additional financing.</w:t>
      </w:r>
    </w:p>
    <w:p>
      <w:pPr>
        <w:spacing w:after="0" w:line="17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forward-looking statements in this prospectus and the documents incorporated by reference herein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prospectus, or in the case of any information incorporated by reference only as of the date of the document incorporated by reference, and are subject to a number of known and unknown risks, uncertainties, and assumptions, including those described under the section in this prospectus entitled “Risk Factors” and elsewhere in this prospectus, or in the documents incorporated by reference herein. Because forward-looking statements are inherently subject to risks and uncertainties, some of which cannot be predicted or quantified and some of which are beyond our control, you should not rely on these forward-looking statements as assurances of future events. The events and circumstances reflected in our forward-looking statements may not be achieved or may not occur and actual results could differ materially from those projected in the forward-looking statements.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675"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Moreover, we operate in a very competitive and rapidly evolving environment. These factors should not be construed as exhaustive and should be read in conjunction with the other cautionary statements that are included in this prospectus and the documents incorporated herein by reference. New risk factors and uncertainties may emerge from time to time, and it is not possible for management to predict all risk factors and uncertainties. Except as required by applicable law, we do not plan to publicly update or revise any forward-looking statements contained, or incorporated by reference, herein, whether as a result of any new information, future events, changed circumstances, or otherwise.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675" w:right="4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ABOUT CARIBOU BIOSCIENCES, INC.</w:t>
      </w:r>
    </w:p>
    <w:p>
      <w:pPr>
        <w:spacing w:after="0" w:line="229"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i w:val="1"/>
          <w:iCs w:val="1"/>
          <w:color w:val="auto"/>
        </w:rPr>
        <w:t xml:space="preserve">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discussed under </w:t>
      </w:r>
      <w:r>
        <w:rPr>
          <w:rFonts w:ascii="Arial" w:cs="Arial" w:eastAsia="Arial" w:hAnsi="Arial"/>
          <w:sz w:val="16"/>
          <w:szCs w:val="16"/>
          <w:i w:val="1"/>
          <w:iCs w:val="1"/>
          <w:u w:val="single" w:color="auto"/>
          <w:color w:val="0000EE"/>
        </w:rPr>
        <w:t>“Risk Factors</w:t>
      </w:r>
      <w:r>
        <w:rPr>
          <w:rFonts w:ascii="Arial" w:cs="Arial" w:eastAsia="Arial" w:hAnsi="Arial"/>
          <w:sz w:val="16"/>
          <w:szCs w:val="16"/>
          <w:i w:val="1"/>
          <w:iCs w:val="1"/>
          <w:color w:val="auto"/>
        </w:rPr>
        <w:t>” beginning on page 8 of this prospectus, along with our consolidated financial statements and notes to those consolidated financial statements and the other information incorporated by reference in this prospectus.</w:t>
      </w:r>
    </w:p>
    <w:p>
      <w:pPr>
        <w:spacing w:after="0" w:line="157"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 xml:space="preserve">We are a clinical-stage CRISPR genome-editing biopharmaceutical company dedicated to developing innovative, transformative therapies for patients with devastating diseases. CRISPR is an acronym for </w:t>
      </w:r>
      <w:r>
        <w:rPr>
          <w:rFonts w:ascii="Arial" w:cs="Arial" w:eastAsia="Arial" w:hAnsi="Arial"/>
          <w:sz w:val="17"/>
          <w:szCs w:val="17"/>
          <w:b w:val="1"/>
          <w:bCs w:val="1"/>
          <w:u w:val="single" w:color="auto"/>
          <w:color w:val="auto"/>
        </w:rPr>
        <w:t>C</w:t>
      </w:r>
      <w:r>
        <w:rPr>
          <w:rFonts w:ascii="Arial" w:cs="Arial" w:eastAsia="Arial" w:hAnsi="Arial"/>
          <w:sz w:val="17"/>
          <w:szCs w:val="17"/>
          <w:color w:val="auto"/>
        </w:rPr>
        <w:t xml:space="preserve">lustered </w:t>
      </w:r>
      <w:r>
        <w:rPr>
          <w:rFonts w:ascii="Arial" w:cs="Arial" w:eastAsia="Arial" w:hAnsi="Arial"/>
          <w:sz w:val="17"/>
          <w:szCs w:val="17"/>
          <w:b w:val="1"/>
          <w:bCs w:val="1"/>
          <w:u w:val="single" w:color="auto"/>
          <w:color w:val="auto"/>
        </w:rPr>
        <w:t>R</w:t>
      </w:r>
      <w:r>
        <w:rPr>
          <w:rFonts w:ascii="Arial" w:cs="Arial" w:eastAsia="Arial" w:hAnsi="Arial"/>
          <w:sz w:val="17"/>
          <w:szCs w:val="17"/>
          <w:color w:val="auto"/>
        </w:rPr>
        <w:t xml:space="preserve">egularly </w:t>
      </w:r>
      <w:r>
        <w:rPr>
          <w:rFonts w:ascii="Arial" w:cs="Arial" w:eastAsia="Arial" w:hAnsi="Arial"/>
          <w:sz w:val="17"/>
          <w:szCs w:val="17"/>
          <w:b w:val="1"/>
          <w:bCs w:val="1"/>
          <w:u w:val="single" w:color="auto"/>
          <w:color w:val="auto"/>
        </w:rPr>
        <w:t>I</w:t>
      </w:r>
      <w:r>
        <w:rPr>
          <w:rFonts w:ascii="Arial" w:cs="Arial" w:eastAsia="Arial" w:hAnsi="Arial"/>
          <w:sz w:val="17"/>
          <w:szCs w:val="17"/>
          <w:color w:val="auto"/>
        </w:rPr>
        <w:t xml:space="preserve">nterspaced </w:t>
      </w:r>
      <w:r>
        <w:rPr>
          <w:rFonts w:ascii="Arial" w:cs="Arial" w:eastAsia="Arial" w:hAnsi="Arial"/>
          <w:sz w:val="17"/>
          <w:szCs w:val="17"/>
          <w:b w:val="1"/>
          <w:bCs w:val="1"/>
          <w:u w:val="single" w:color="auto"/>
          <w:color w:val="auto"/>
        </w:rPr>
        <w:t>S</w:t>
      </w:r>
      <w:r>
        <w:rPr>
          <w:rFonts w:ascii="Arial" w:cs="Arial" w:eastAsia="Arial" w:hAnsi="Arial"/>
          <w:sz w:val="17"/>
          <w:szCs w:val="17"/>
          <w:color w:val="auto"/>
        </w:rPr>
        <w:t xml:space="preserve">hort </w:t>
      </w:r>
      <w:r>
        <w:rPr>
          <w:rFonts w:ascii="Arial" w:cs="Arial" w:eastAsia="Arial" w:hAnsi="Arial"/>
          <w:sz w:val="17"/>
          <w:szCs w:val="17"/>
          <w:b w:val="1"/>
          <w:bCs w:val="1"/>
          <w:u w:val="single" w:color="auto"/>
          <w:color w:val="auto"/>
        </w:rPr>
        <w:t>P</w:t>
      </w:r>
      <w:r>
        <w:rPr>
          <w:rFonts w:ascii="Arial" w:cs="Arial" w:eastAsia="Arial" w:hAnsi="Arial"/>
          <w:sz w:val="17"/>
          <w:szCs w:val="17"/>
          <w:color w:val="auto"/>
        </w:rPr>
        <w:t xml:space="preserve">alindromic </w:t>
      </w:r>
      <w:r>
        <w:rPr>
          <w:rFonts w:ascii="Arial" w:cs="Arial" w:eastAsia="Arial" w:hAnsi="Arial"/>
          <w:sz w:val="17"/>
          <w:szCs w:val="17"/>
          <w:b w:val="1"/>
          <w:bCs w:val="1"/>
          <w:u w:val="single" w:color="auto"/>
          <w:color w:val="auto"/>
        </w:rPr>
        <w:t>R</w:t>
      </w:r>
      <w:r>
        <w:rPr>
          <w:rFonts w:ascii="Arial" w:cs="Arial" w:eastAsia="Arial" w:hAnsi="Arial"/>
          <w:sz w:val="17"/>
          <w:szCs w:val="17"/>
          <w:color w:val="auto"/>
        </w:rPr>
        <w:t xml:space="preserve">epeats. Our novel CRISPR platform, </w:t>
      </w:r>
      <w:r>
        <w:rPr>
          <w:rFonts w:ascii="Arial" w:cs="Arial" w:eastAsia="Arial" w:hAnsi="Arial"/>
          <w:sz w:val="17"/>
          <w:szCs w:val="17"/>
          <w:b w:val="1"/>
          <w:bCs w:val="1"/>
          <w:u w:val="single" w:color="auto"/>
          <w:color w:val="auto"/>
        </w:rPr>
        <w:t>C</w:t>
      </w:r>
      <w:r>
        <w:rPr>
          <w:rFonts w:ascii="Arial" w:cs="Arial" w:eastAsia="Arial" w:hAnsi="Arial"/>
          <w:sz w:val="17"/>
          <w:szCs w:val="17"/>
          <w:color w:val="auto"/>
        </w:rPr>
        <w:t xml:space="preserve">RISPR </w:t>
      </w:r>
      <w:r>
        <w:rPr>
          <w:rFonts w:ascii="Arial" w:cs="Arial" w:eastAsia="Arial" w:hAnsi="Arial"/>
          <w:sz w:val="17"/>
          <w:szCs w:val="17"/>
          <w:b w:val="1"/>
          <w:bCs w:val="1"/>
          <w:u w:val="single" w:color="auto"/>
          <w:color w:val="auto"/>
        </w:rPr>
        <w:t>h</w:t>
      </w:r>
      <w:r>
        <w:rPr>
          <w:rFonts w:ascii="Arial" w:cs="Arial" w:eastAsia="Arial" w:hAnsi="Arial"/>
          <w:sz w:val="17"/>
          <w:szCs w:val="17"/>
          <w:color w:val="auto"/>
        </w:rPr>
        <w:t xml:space="preserve">ybrid </w:t>
      </w:r>
      <w:r>
        <w:rPr>
          <w:rFonts w:ascii="Arial" w:cs="Arial" w:eastAsia="Arial" w:hAnsi="Arial"/>
          <w:sz w:val="17"/>
          <w:szCs w:val="17"/>
          <w:b w:val="1"/>
          <w:bCs w:val="1"/>
          <w:u w:val="single" w:color="auto"/>
          <w:color w:val="auto"/>
        </w:rPr>
        <w:t>R</w:t>
      </w:r>
      <w:r>
        <w:rPr>
          <w:rFonts w:ascii="Arial" w:cs="Arial" w:eastAsia="Arial" w:hAnsi="Arial"/>
          <w:sz w:val="17"/>
          <w:szCs w:val="17"/>
          <w:color w:val="auto"/>
        </w:rPr>
        <w:t>NA-</w:t>
      </w:r>
      <w:r>
        <w:rPr>
          <w:rFonts w:ascii="Arial" w:cs="Arial" w:eastAsia="Arial" w:hAnsi="Arial"/>
          <w:sz w:val="17"/>
          <w:szCs w:val="17"/>
          <w:b w:val="1"/>
          <w:bCs w:val="1"/>
          <w:u w:val="single" w:color="auto"/>
          <w:color w:val="auto"/>
        </w:rPr>
        <w:t>DNA</w:t>
      </w:r>
      <w:r>
        <w:rPr>
          <w:rFonts w:ascii="Arial" w:cs="Arial" w:eastAsia="Arial" w:hAnsi="Arial"/>
          <w:sz w:val="17"/>
          <w:szCs w:val="17"/>
          <w:color w:val="auto"/>
        </w:rPr>
        <w:t>, or chRDNA (pronounced “chardonnay”), enables high genome-editing precision to develop cell therapies that are specifically engineered to target cancer and are armored for enhanced persistence. We are advancing a pipeline of allogeneic, or off-the-shelf, chimeric antigen receptor, or CAR, -T, or CAR-T, and -natural killer, or CAR-NK, cell therapies for the treatment of patients with hematologic malignancies and solid tumors. Our renowned founders, including a Nobel Prize laureate, are pioneers in the field of CRISPR genome editing. Our chRDNA technology has demonstrated superior specificity and high efficiency in preclinical studies and enables us to perform multiple, precise genome edits, while maintaining genomic integrity.</w:t>
      </w:r>
    </w:p>
    <w:p>
      <w:pPr>
        <w:spacing w:after="0" w:line="178"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 xml:space="preserve">We believe that our technology has broad potential to generate gene and cell therapies in oncology and in therapeutic areas beyond oncology. Potential applications include immune cell therapies, cell therapies derived from genome-edited induced pluripotent stem cells, or iPSCs,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genome-edited therapies.</w:t>
      </w:r>
    </w:p>
    <w:p>
      <w:pPr>
        <w:spacing w:after="0" w:line="184"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The genome-editing technologies currently used in the allogeneic cell therapy field generally have limited efficiency, specificity, and versatility for performing the multiple, precise genome edits necessary to address insufficient persistence. Our chRDNA technology is designed to address these genome-editing limitations and improve cell therapy activity. By applying our approach to allogeneic cell therapies, we believe we can unlock their full potential by improving upon their effectiveness and durability.</w:t>
      </w:r>
    </w:p>
    <w:p>
      <w:pPr>
        <w:spacing w:after="0" w:line="187" w:lineRule="exact"/>
        <w:rPr>
          <w:sz w:val="20"/>
          <w:szCs w:val="20"/>
          <w:color w:val="auto"/>
        </w:rPr>
      </w:pPr>
    </w:p>
    <w:p>
      <w:pPr>
        <w:ind w:left="300" w:right="180" w:firstLine="426"/>
        <w:spacing w:after="0" w:line="301" w:lineRule="auto"/>
        <w:rPr>
          <w:sz w:val="20"/>
          <w:szCs w:val="20"/>
          <w:color w:val="auto"/>
        </w:rPr>
      </w:pPr>
      <w:r>
        <w:rPr>
          <w:rFonts w:ascii="Arial" w:cs="Arial" w:eastAsia="Arial" w:hAnsi="Arial"/>
          <w:sz w:val="16"/>
          <w:szCs w:val="16"/>
          <w:color w:val="auto"/>
        </w:rPr>
        <w:t>We are initially focused on advancing multiple proprietary allogeneic cell therapies for the treatment of both hematologic malignancies and solid tumors against cell surface targets for which autologous CAR-T cell therapeutics have previously demonstrated clinical proof of concept, including CD19 and B cell maturation antigen, as well as other targets. We use our chRDNA technology to enhance, or armor, our cell therapies with multiple strategies, such as checkpoint disruption and immune cloaking, to improve persistence of antitumor activity.</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480" w:firstLine="426"/>
        <w:spacing w:after="0" w:line="311" w:lineRule="auto"/>
        <w:rPr>
          <w:sz w:val="20"/>
          <w:szCs w:val="20"/>
          <w:color w:val="auto"/>
        </w:rPr>
      </w:pPr>
      <w:r>
        <w:rPr>
          <w:rFonts w:ascii="Arial" w:cs="Arial" w:eastAsia="Arial" w:hAnsi="Arial"/>
          <w:sz w:val="16"/>
          <w:szCs w:val="16"/>
          <w:color w:val="auto"/>
        </w:rPr>
        <w:t xml:space="preserve">Our principal executive offices are located at 2929 7th Street, Suite 105, Berkeley, California 94710 and our telephone number is (510) 982-6030. Our website address is </w:t>
      </w:r>
      <w:r>
        <w:rPr>
          <w:rFonts w:ascii="Arial" w:cs="Arial" w:eastAsia="Arial" w:hAnsi="Arial"/>
          <w:sz w:val="16"/>
          <w:szCs w:val="16"/>
          <w:i w:val="1"/>
          <w:iCs w:val="1"/>
          <w:u w:val="single" w:color="auto"/>
          <w:color w:val="auto"/>
        </w:rPr>
        <w:t>www.cariboubio.com</w:t>
      </w:r>
      <w:r>
        <w:rPr>
          <w:rFonts w:ascii="Arial" w:cs="Arial" w:eastAsia="Arial" w:hAnsi="Arial"/>
          <w:sz w:val="16"/>
          <w:szCs w:val="16"/>
          <w:color w:val="auto"/>
        </w:rPr>
        <w:t>. The information on, or that can be accessed through, our website is not part of this prospectus and is not incorporated by reference herein. We have included our website address as an inactive textual reference only.</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20" w:firstLine="426"/>
        <w:spacing w:after="0" w:line="311" w:lineRule="auto"/>
        <w:rPr>
          <w:sz w:val="20"/>
          <w:szCs w:val="20"/>
          <w:color w:val="auto"/>
        </w:rPr>
      </w:pPr>
      <w:r>
        <w:rPr>
          <w:rFonts w:ascii="Arial" w:cs="Arial" w:eastAsia="Arial" w:hAnsi="Arial"/>
          <w:sz w:val="16"/>
          <w:szCs w:val="16"/>
          <w:color w:val="auto"/>
        </w:rPr>
        <w:t>We are an emerging growth company as defined in the Jumpstart Our Business Startups Act of 2012, as amended, or the JOBS Act. We will remain an emerging growth company until the earliest of: (i) December 31, 2026; (ii) the last day of the fiscal year in which we have total annual gross revenue of at least $1.07 billion; (iii) the last day of the fiscal year in which we are deemed to be a “large accelerated filer” as defined in Rule</w:t>
      </w: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675" w:right="6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963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6998970" cy="38963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301" w:lineRule="auto"/>
        <w:rPr>
          <w:sz w:val="20"/>
          <w:szCs w:val="20"/>
          <w:color w:val="auto"/>
        </w:rPr>
      </w:pPr>
      <w:r>
        <w:rPr>
          <w:rFonts w:ascii="Arial" w:cs="Arial" w:eastAsia="Arial" w:hAnsi="Arial"/>
          <w:sz w:val="16"/>
          <w:szCs w:val="16"/>
          <w:color w:val="auto"/>
        </w:rPr>
        <w:t>12b-2 under the Exchange Act, which would occur if the market value of our common stock held by non-affiliates exceeded $700 million as of the last business day of the second fiscal quarter of such year; or (iv) the date on which we have issued more than $1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63" w:lineRule="exact"/>
        <w:rPr>
          <w:sz w:val="20"/>
          <w:szCs w:val="20"/>
          <w:color w:val="auto"/>
        </w:rPr>
      </w:pPr>
    </w:p>
    <w:p>
      <w:pPr>
        <w:ind w:left="1260" w:right="200" w:hanging="433"/>
        <w:spacing w:after="0" w:line="263"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avail ourselves of the exemption from the requirement to obtain an attestation and report from our independent registered public accounting firm on the assessment of our internal control over financial reporting pursuant to the Sarbanes-Oxley Act of 2002, as amended, or the Sarbanes-Oxley Act;</w:t>
      </w:r>
    </w:p>
    <w:p>
      <w:pPr>
        <w:spacing w:after="0" w:line="89" w:lineRule="exact"/>
        <w:rPr>
          <w:rFonts w:ascii="Arial" w:cs="Arial" w:eastAsia="Arial" w:hAnsi="Arial"/>
          <w:sz w:val="18"/>
          <w:szCs w:val="18"/>
          <w:color w:val="auto"/>
        </w:rPr>
      </w:pPr>
    </w:p>
    <w:p>
      <w:pPr>
        <w:ind w:left="1260" w:hanging="43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provide less extensive disclosure about our executive compensation arrangements; and</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require stockholder non-binding advisory votes on executive compensation or golden parachute arrangements.</w:t>
      </w:r>
    </w:p>
    <w:p>
      <w:pPr>
        <w:spacing w:after="0" w:line="225"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new or revised accounting standards during the period in which we remain an emerging growth company; however, we may adopt certain new or revised accounting standards early.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left="300" w:right="100" w:firstLine="426"/>
        <w:spacing w:after="0" w:line="237" w:lineRule="auto"/>
        <w:rPr>
          <w:sz w:val="20"/>
          <w:szCs w:val="20"/>
          <w:color w:val="auto"/>
        </w:rPr>
      </w:pPr>
      <w:r>
        <w:rPr>
          <w:rFonts w:ascii="Arial" w:cs="Arial" w:eastAsia="Arial" w:hAnsi="Arial"/>
          <w:sz w:val="18"/>
          <w:szCs w:val="18"/>
          <w:color w:val="auto"/>
        </w:rPr>
        <w:t xml:space="preserve">We have registered Caribou Biosciences, Caribou, Site-Seq, and our logo as trademarks or service marks in the United States and certain other jurisdictions. This prospectus contains references to our trademarks and service marks and to those belonging to other entities. Solely for convenience, trademarks, service marks, and trade names referred to in this prospectus, including logos, artwork, and other visual displays, may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in the case of our trademarks, service marks, and trade names, such references are not intended to indicate in any way that we will not assert, to the fullest extent under applicable law, our rights to these trademarks, service marks, and trade names. We do not intend our use or display of other entities’ trade names, trademarks, or service marks to imply a relationship with, or endorsement or sponsorship of us by, any other entity.</w:t>
      </w:r>
    </w:p>
    <w:p>
      <w:pPr>
        <w:spacing w:after="0" w:line="3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675" w:right="6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Investing in any of our securities involves significant risks. Before making an investment decision, in addition to the other information contained in or incorporated by reference in this prospectus and any prospectus supplement, you should carefully consider the specific risks set forth under the heading “Risk Factors” in our most recent Annual Report on Form 10-K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Additional Information” and “Information We Incorporate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675"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activities; clinical trial expenditures; manufacturing costs; the acquisition or in-license of products, product candidates, businesses, or technologies; hiring additional personnel; working capital; and capital expenditures. We may temporarily invest the net proceeds in a variety of capital preservation instruments, including short term, investment grade, interest-bearing instruments, and U.S. government securities, until they are used for their stated purpose. We have not determined the amount of net proceeds to be used specifically for such purposes. As a result, management will retain broad discretion over the allocation of the net proceeds of any offering.</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675"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of material terms and provisions and are qualified by reference to our amended and restated certificate of incorporation and our amended and restated bylaws, copies of which have been filed with the SEC and are incorporated by reference as exhibits to the registration statement of which this prospectus forms a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authorized capital stock consists of 310,000,000 shares, all with a par value of $0.0001 per share, of which:</w:t>
      </w:r>
    </w:p>
    <w:p>
      <w:pPr>
        <w:spacing w:after="0" w:line="131" w:lineRule="exact"/>
        <w:rPr>
          <w:sz w:val="20"/>
          <w:szCs w:val="20"/>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300,000,000 shares are designated as common stock;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of August 1, 2022, we had outstanding 60,840,446 shares of common stock held of record by 44 stockholders. This number does not include beneficial owners whose shares were held in street name by banks, brokers, and other financial institutions.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common stock are entitled to one vote for each share held on all matters submitted to a vote of stockholders, except</w:t>
      </w:r>
      <w:r>
        <w:rPr>
          <w:rFonts w:ascii="Arial" w:cs="Arial" w:eastAsia="Arial" w:hAnsi="Arial"/>
          <w:sz w:val="17"/>
          <w:szCs w:val="17"/>
          <w:i w:val="1"/>
          <w:iCs w:val="1"/>
          <w:color w:val="auto"/>
        </w:rPr>
        <w:t xml:space="preserve"> </w:t>
      </w:r>
      <w:r>
        <w:rPr>
          <w:rFonts w:ascii="Arial" w:cs="Arial" w:eastAsia="Arial" w:hAnsi="Arial"/>
          <w:sz w:val="17"/>
          <w:szCs w:val="17"/>
          <w:color w:val="auto"/>
        </w:rPr>
        <w:t>for certain votes that relate solely to the terms of preferred stock, and do not have cumulative voting rights in the election of directors. An election of directors by our stockholders will be determined by a plurality of the votes cast by the stockholders entitled to vote on the election.</w:t>
      </w:r>
    </w:p>
    <w:p>
      <w:pPr>
        <w:spacing w:after="0" w:line="16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Holders of our common stock are entitled to receive proportionately any dividends as may be declared from time to time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out of legally available funds, subject to any preferential dividend rights of any series of preferred stock that we may designate and issue in the future.</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Liquidation, Dissolution, and Winding Up</w:t>
      </w:r>
      <w:r>
        <w:rPr>
          <w:rFonts w:ascii="Arial" w:cs="Arial" w:eastAsia="Arial" w:hAnsi="Arial"/>
          <w:sz w:val="18"/>
          <w:szCs w:val="18"/>
          <w:color w:val="auto"/>
        </w:rPr>
        <w:t>. In the event of our liquidation or dissolution, holders of our common stock are entitled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proportionately our net assets legally available for distribution to stockholders after the payment of all debts and other liabilities and subject to the prior rights of any outstanding preferred stock.</w:t>
      </w:r>
    </w:p>
    <w:p>
      <w:pPr>
        <w:spacing w:after="0" w:line="18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i w:val="1"/>
          <w:iCs w:val="1"/>
          <w:color w:val="auto"/>
        </w:rPr>
        <w:t>Other Rights</w:t>
      </w:r>
      <w:r>
        <w:rPr>
          <w:rFonts w:ascii="Arial" w:cs="Arial" w:eastAsia="Arial" w:hAnsi="Arial"/>
          <w:sz w:val="16"/>
          <w:szCs w:val="16"/>
          <w:color w:val="auto"/>
        </w:rPr>
        <w:t>. Holders of our common stock will have no preemptive, subscription, redemption, or conversion rights, and there are no redemption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or sinking fund provisions applicable to our common stock. The rights, preferences, and privileges of holders of our common stock are subject to and may be adversely affected by the rights of holders of shares of any series of preferred stock that we may designate and issue in the future.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authorized shares of preferred stock are available for issuance without further action by our stockholders unless required by law or by the rules and regulations of any stock exchange on which our common stock may be listed. Our amended and restated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is authorized to increase or decrease the number of shares of any series of preferred stock, but not below the number of shares of that series of preferred stock then outstanding, without any further vote or action by the stockholders.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675"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 issuance of preferred stock could adversely affect the voting power of holders of common stock and the likelihood that such holders will receive dividend payments and payments upon liquidation. In addition, the existence of unissued and unreserved common stock or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their shares of common stock at prices higher than prevailing market prices.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transfer agent and registrar for our common stock is Computershare, N.A. The transfer agent and registrar for the preferred stock will be set forth in the applicable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symbol “CRBU.”</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Our amended and restated certificate of incorporation and our amended and restated bylaws contain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Our amended and restated certificate of incorporation provides that, other than any directors elected by the separate vote of one</w:t>
      </w:r>
      <w:r>
        <w:rPr>
          <w:rFonts w:ascii="Arial" w:cs="Arial" w:eastAsia="Arial" w:hAnsi="Arial"/>
          <w:sz w:val="16"/>
          <w:szCs w:val="16"/>
          <w:i w:val="1"/>
          <w:iCs w:val="1"/>
          <w:color w:val="auto"/>
        </w:rPr>
        <w:t xml:space="preserve"> </w:t>
      </w:r>
      <w:r>
        <w:rPr>
          <w:rFonts w:ascii="Arial" w:cs="Arial" w:eastAsia="Arial" w:hAnsi="Arial"/>
          <w:sz w:val="16"/>
          <w:szCs w:val="16"/>
          <w:color w:val="auto"/>
        </w:rPr>
        <w:t>or more series of preferred stock (if any) who are entitled to elect directors, our board of directors is divided into three classes of directors. As a result, approximately one-third of our board of directors is elected each year. The classification of directors makes it more difficult for stockholders to change the composition of our board of directors. Our amended and restated certificate of incorporation also provides that, subject to any rights of holders of preferred stock to elect additional directors under specified circumstances, the number of directors will be fixed exclusively pursuant to one or more resolutions adopted from time to time by our board of directors. Our board of directors currently has eight members.</w:t>
      </w:r>
    </w:p>
    <w:p>
      <w:pPr>
        <w:spacing w:after="0" w:line="16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Action by Written Consent; Special Meetings of Stockholders</w:t>
      </w:r>
      <w:r>
        <w:rPr>
          <w:rFonts w:ascii="Arial" w:cs="Arial" w:eastAsia="Arial" w:hAnsi="Arial"/>
          <w:sz w:val="17"/>
          <w:szCs w:val="17"/>
          <w:color w:val="auto"/>
        </w:rPr>
        <w:t>. Our amended and restated certificate of incorporation provides that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action can be taken only at an annual or special meeting of stockholders and cannot be taken by written consent. Our amended and restated certificate of incorporation and our amended and restated bylaws also provide that, except as otherwise required by statute and subject to the rights, if any, of the holders of any series of preferred stock, special meetings of the stockholders can only be called pursuant to a resolution adopted by a majority of our board of directors, the chair of our board of directors, or our chief executive officer. Except as described above, our stockholders will not be permitted to call a special meeting or to require our board of directors to call a special meeting.</w:t>
      </w:r>
    </w:p>
    <w:p>
      <w:pPr>
        <w:spacing w:after="0" w:line="178"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i w:val="1"/>
          <w:iCs w:val="1"/>
          <w:color w:val="auto"/>
        </w:rPr>
        <w:t xml:space="preserve">Removal of Directors. </w:t>
      </w:r>
      <w:r>
        <w:rPr>
          <w:rFonts w:ascii="Arial" w:cs="Arial" w:eastAsia="Arial" w:hAnsi="Arial"/>
          <w:sz w:val="16"/>
          <w:szCs w:val="16"/>
          <w:color w:val="auto"/>
        </w:rPr>
        <w:t>Our amended and restated certificate of incorporation provides that, subject to the special rights of the holders of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series of preferred stock (if any) to elect directors, our directors may be removed only for cause and only by the affirmative vote of at least 66 2/3% of the voting power of our outstanding shares of capital stock, voting together as a single class. This requirement of a supermajority vote to remove directors could enable holders of a minority of our stock to prevent a change in the composition of our board of directors.</w:t>
      </w:r>
    </w:p>
    <w:p>
      <w:pPr>
        <w:spacing w:after="0" w:line="15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i w:val="1"/>
          <w:iCs w:val="1"/>
          <w:color w:val="auto"/>
        </w:rPr>
        <w:t>Advance Notice Procedures</w:t>
      </w:r>
      <w:r>
        <w:rPr>
          <w:rFonts w:ascii="Arial" w:cs="Arial" w:eastAsia="Arial" w:hAnsi="Arial"/>
          <w:sz w:val="18"/>
          <w:szCs w:val="18"/>
          <w:color w:val="auto"/>
        </w:rPr>
        <w:t>. Our amended and restated bylaws establish an advance notice procedure for stockholder proposals to be brought</w:t>
      </w:r>
      <w:r>
        <w:rPr>
          <w:rFonts w:ascii="Arial" w:cs="Arial" w:eastAsia="Arial" w:hAnsi="Arial"/>
          <w:sz w:val="18"/>
          <w:szCs w:val="18"/>
          <w:i w:val="1"/>
          <w:iCs w:val="1"/>
          <w:color w:val="auto"/>
        </w:rPr>
        <w:t xml:space="preserve"> </w:t>
      </w:r>
      <w:r>
        <w:rPr>
          <w:rFonts w:ascii="Arial" w:cs="Arial" w:eastAsia="Arial" w:hAnsi="Arial"/>
          <w:sz w:val="18"/>
          <w:szCs w:val="18"/>
          <w:color w:val="auto"/>
        </w:rPr>
        <w:t>before an annual meeting of our stockholders, including proposed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675"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nominations of persons for election to our board of directors. Stockholders at an annual meeting will only be able to consider proposals or nominations specified in our notice of the annual meeting or brought before the meeting specifically by or at the direction of our board of directors or by a stockholder who was a stockholder of record both at the time of giving the stockholder’s notice referenced below and at the time of the meeting, who is entitled to vote at the meeting and is present in person at the meeting, and who has given our corporate secretary timely written notice, in proper form, of the stockholder’s intention to bring that business before the meeting and must update and supplement that written notice on a timely basis as described in our amended and restated bylaws. Although our amended and restated bylaws do not give our board of directors the power to approve or disapprove stockholder nominations of candidates or proposals regarding other business to be conducted at a special or annual meeting, our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66"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i w:val="1"/>
          <w:iCs w:val="1"/>
          <w:color w:val="auto"/>
        </w:rPr>
        <w:t>Supermajority Approval Requirements</w:t>
      </w:r>
      <w:r>
        <w:rPr>
          <w:rFonts w:ascii="Arial" w:cs="Arial" w:eastAsia="Arial" w:hAnsi="Arial"/>
          <w:sz w:val="18"/>
          <w:szCs w:val="18"/>
          <w:color w:val="auto"/>
        </w:rPr>
        <w:t>. The Delaware General Corporation Law, or DGCL, generally provides that the affirmative vote of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shares entitled to vote on any matter is required to amend a corporation’s certificate of incorporation or bylaws, unless either a corporation’s certificate of incorporation or bylaws requires a greater percentage. Our amended and restated certificate of incorporation and amended and restated bylaws provide that the affirmative vote of holders of at least 66 2/3% of the voting power of all of our then-outstanding shares of the capital stock entitled to vote generally in the election of directors is required to adopt, amend, or repeal our amended and restated bylaws and certain specified provisions of our amended and restated certificate of incorporation. This requirement of a supermajority vote to approve amendments to our amended and restated certificate of incorporation and amended and restated bylaws could enable holders of a minority of our stock to exercise veto power over any such amendments.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Our authorized but unissued shares of common stock and preferred stock will be available for future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Exclusive Forum</w:t>
      </w:r>
      <w:r>
        <w:rPr>
          <w:rFonts w:ascii="Arial" w:cs="Arial" w:eastAsia="Arial" w:hAnsi="Arial"/>
          <w:sz w:val="17"/>
          <w:szCs w:val="17"/>
          <w:color w:val="auto"/>
        </w:rPr>
        <w:t>. Our amended and restated certificate of incorporation requires, to the fullest extent permitted by law, that derivative actions</w:t>
      </w:r>
      <w:r>
        <w:rPr>
          <w:rFonts w:ascii="Arial" w:cs="Arial" w:eastAsia="Arial" w:hAnsi="Arial"/>
          <w:sz w:val="17"/>
          <w:szCs w:val="17"/>
          <w:i w:val="1"/>
          <w:iCs w:val="1"/>
          <w:color w:val="auto"/>
        </w:rPr>
        <w:t xml:space="preserve"> </w:t>
      </w:r>
      <w:r>
        <w:rPr>
          <w:rFonts w:ascii="Arial" w:cs="Arial" w:eastAsia="Arial" w:hAnsi="Arial"/>
          <w:sz w:val="17"/>
          <w:szCs w:val="17"/>
          <w:color w:val="auto"/>
        </w:rPr>
        <w:t>brought on behalf of our Company, actions against current or former directors, officers, employees, agents, or stockholders for breach of a fiduciary duty, and other similar actions be brought only in specified courts in the State of Delaware. This exclusive forum provision explicitly does not apply to actions arising under federal securities laws, including suits brought to enforce any liability or duty created by the Securities Act of 1933, as amended, or the Securities Act, the Exchange Act, or any other claim for which federal courts have exclusive jurisdiction. Furthermore,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Although we believe these provisions benefit us by providing increased consistency in the application of Delaware law in the types of lawsuits to which it applies, these provisions may have the effect of discouraging lawsuits against our directors and executive officers. It is also possible that a court could rule that such a provision is inapplicable for a particular claim or action or that such provision is unenforceable.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203 of the DGCL</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We are subject to the provisions of Section 203 of the DGCL. In general, Section 203 prohibits a publicly-held Delaware corporation from engaging in a “business combination” with an “interested stockholder” for a three-year period following the time that such stockholder becomes an interested stockholder, unless the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675"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59" w:lineRule="auto"/>
        <w:rPr>
          <w:sz w:val="20"/>
          <w:szCs w:val="20"/>
          <w:color w:val="auto"/>
        </w:rPr>
      </w:pPr>
      <w:r>
        <w:rPr>
          <w:rFonts w:ascii="Arial" w:cs="Arial" w:eastAsia="Arial" w:hAnsi="Arial"/>
          <w:sz w:val="18"/>
          <w:szCs w:val="18"/>
          <w:color w:val="auto"/>
        </w:rPr>
        <w:t>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87"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Under Section 203 of the DGCL, a business combination between a corporation and an interested stockholder is prohibited unless it satisfies one of the following conditions: (i) before the stockholder became interested, our board of directors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(iii)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that is not owned by the interested stockholder.</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Section 203 of the DGCL. As a result, mergers, or other takeover or change in control attempts of us may be discouraged or prevented.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675"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following description, together with the additional information we include in any applicable prospectus supplement, summarizes certain general terms and provisions of the debt securities that we may offer in one or more series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6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will issue any senior debt securities under the senior indenture that we will enter into with the trustee to be named in the senior indenture. We will issue any subordinated debt securities under the subordinated indenture that we will enter into with the trustee to be named in the subordinated indenture. We have filed forms of these indentures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Unless the context requires otherwise, we use the term “indenture” to refer to both the senior indenture and the subordinated indenture, as well as to refer to any supplemental indentures that specify the terms of a particular series of debt securities. Except as we may otherwise indicate, the terms of the senior indenture and the subordinated indenture are identical.</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indenture will be qualified under the Trust Indenture Act of 1939, as amended, or the Trust Indenture Act. We use the term “trustee” to refer to either the senior trustee or the subordinated trustee, as applicable.</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following summary of material provisions of the senior debt securities, the subordinated debt securities, and the indenture is subject to, and is qualified in its entirety by reference to, all the provisions of the indenture applicable to a particular series of debt securities. We urge you to read the applicable prospectus supplement related to the debt securities that we sell under this prospectus, as well as the complete indenture that contains the terms of the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The indenture does not limit the aggregate principal amount of debt securities that may be issued thereunder. The debt securities may be issued from time to time in one or more series and the terms of each series of debt securities will be established by or pursuant to a resolution of our board of directors and set forth in an officer’s certificate or a supplemental indenture. The particular terms of each series of debt securities will be described in a prospectus supplement relating to that series (including any pricing supplement or term sheet), including the following terms, if applicable:</w:t>
      </w:r>
    </w:p>
    <w:p>
      <w:pPr>
        <w:spacing w:after="0" w:line="63" w:lineRule="exact"/>
        <w:rPr>
          <w:sz w:val="20"/>
          <w:szCs w:val="20"/>
          <w:color w:val="auto"/>
        </w:rPr>
      </w:pPr>
    </w:p>
    <w:p>
      <w:pPr>
        <w:ind w:left="1100" w:hanging="43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100" w:right="220" w:hanging="43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and any limit on the aggregate principal amount of that series of debt securities;</w:t>
      </w:r>
    </w:p>
    <w:p>
      <w:pPr>
        <w:spacing w:after="0" w:line="75"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including the terms of subordination, if any, of those guarantees;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ranking (including the terms of the subordination of any series of subordinated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and the method for calculating such interest rate or rates;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675"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identity of the trustee;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dates from which interest will accrue, the interest payment dates, and the record dates for the interest payments;</w:t>
      </w:r>
    </w:p>
    <w:p>
      <w:pPr>
        <w:spacing w:after="0" w:line="130" w:lineRule="exact"/>
        <w:rPr>
          <w:rFonts w:ascii="Arial" w:cs="Arial" w:eastAsia="Arial" w:hAnsi="Arial"/>
          <w:sz w:val="18"/>
          <w:szCs w:val="18"/>
          <w:color w:val="auto"/>
        </w:rPr>
      </w:pPr>
    </w:p>
    <w:p>
      <w:pPr>
        <w:ind w:left="1100" w:right="60" w:hanging="433"/>
        <w:spacing w:after="0" w:line="263"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or interest on, the debt securities shall be payable, where the securities of that series may be surrendered for registration of transfer or exchange, and where notices and demands to us in respect of the debt securities may be delivered;</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mandatory or optional redemption terms, including any conditions precedent to such optional redemption;</w:t>
      </w:r>
    </w:p>
    <w:p>
      <w:pPr>
        <w:spacing w:after="0" w:line="130"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must be redeemed or may be redeemed, in whole or in part, at our option;</w:t>
      </w:r>
    </w:p>
    <w:p>
      <w:pPr>
        <w:spacing w:after="0" w:line="75" w:lineRule="exact"/>
        <w:rPr>
          <w:rFonts w:ascii="Arial" w:cs="Arial" w:eastAsia="Arial" w:hAnsi="Arial"/>
          <w:sz w:val="18"/>
          <w:szCs w:val="18"/>
          <w:color w:val="auto"/>
        </w:rPr>
      </w:pPr>
    </w:p>
    <w:p>
      <w:pPr>
        <w:ind w:left="1100" w:hanging="433"/>
        <w:spacing w:after="0" w:line="263"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that obligation;</w:t>
      </w:r>
    </w:p>
    <w:p>
      <w:pPr>
        <w:spacing w:after="0" w:line="89" w:lineRule="exact"/>
        <w:rPr>
          <w:rFonts w:ascii="Arial" w:cs="Arial" w:eastAsia="Arial" w:hAnsi="Arial"/>
          <w:sz w:val="18"/>
          <w:szCs w:val="18"/>
          <w:color w:val="auto"/>
        </w:rPr>
      </w:pPr>
    </w:p>
    <w:p>
      <w:pPr>
        <w:ind w:left="1100" w:right="66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dates, if any, on which, and the price or prices at which, we will repurchase debt securities at the option of the holders of debt securities and other detailed terms and provisions of any such repurchase obligations;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shall be payable upon declaration of acceleration of the maturity thereof;</w:t>
      </w:r>
    </w:p>
    <w:p>
      <w:pPr>
        <w:spacing w:after="0" w:line="75" w:lineRule="exact"/>
        <w:rPr>
          <w:rFonts w:ascii="Arial" w:cs="Arial" w:eastAsia="Arial" w:hAnsi="Arial"/>
          <w:sz w:val="18"/>
          <w:szCs w:val="18"/>
          <w:color w:val="auto"/>
        </w:rPr>
      </w:pPr>
    </w:p>
    <w:p>
      <w:pPr>
        <w:ind w:left="1100" w:right="140" w:hanging="433"/>
        <w:spacing w:after="0" w:line="263"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debt securities are denominated in other than U.S. dollars, the currency or currencies (including composite currencies) in which the debt securities are denominated, and if such currency of denomination is a composite currency, the agency or organization, if any, responsible for overseeing such composite currency;</w:t>
      </w:r>
    </w:p>
    <w:p>
      <w:pPr>
        <w:spacing w:after="0" w:line="89"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any premium or interest on, the debt securities of the series will be made;</w:t>
      </w:r>
    </w:p>
    <w:p>
      <w:pPr>
        <w:spacing w:after="0" w:line="75" w:lineRule="exact"/>
        <w:rPr>
          <w:rFonts w:ascii="Arial" w:cs="Arial" w:eastAsia="Arial" w:hAnsi="Arial"/>
          <w:sz w:val="18"/>
          <w:szCs w:val="18"/>
          <w:color w:val="auto"/>
        </w:rPr>
      </w:pPr>
    </w:p>
    <w:p>
      <w:pPr>
        <w:ind w:left="1100" w:right="320" w:hanging="433"/>
        <w:spacing w:after="0" w:line="263"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payments of principal of, or any premium or interest on, the debt securities will be made in one or more currencies or currency units other than that or those in which the debt securities are denominated, the manner in which the exchange rate with respect to those payments will be determined;</w:t>
      </w:r>
    </w:p>
    <w:p>
      <w:pPr>
        <w:spacing w:after="0" w:line="89" w:lineRule="exact"/>
        <w:rPr>
          <w:rFonts w:ascii="Arial" w:cs="Arial" w:eastAsia="Arial" w:hAnsi="Arial"/>
          <w:sz w:val="18"/>
          <w:szCs w:val="18"/>
          <w:color w:val="auto"/>
        </w:rPr>
      </w:pPr>
    </w:p>
    <w:p>
      <w:pPr>
        <w:ind w:left="1100" w:right="80" w:hanging="433"/>
        <w:spacing w:after="0" w:line="263"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and any premium or interest on, the debt securities will be determined, including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if any, relating to any security provided for the debt securities;</w:t>
      </w:r>
    </w:p>
    <w:p>
      <w:pPr>
        <w:spacing w:after="0" w:line="130" w:lineRule="exact"/>
        <w:rPr>
          <w:rFonts w:ascii="Arial" w:cs="Arial" w:eastAsia="Arial" w:hAnsi="Arial"/>
          <w:sz w:val="18"/>
          <w:szCs w:val="18"/>
          <w:color w:val="auto"/>
        </w:rPr>
      </w:pPr>
    </w:p>
    <w:p>
      <w:pPr>
        <w:ind w:left="1100" w:right="80" w:hanging="433"/>
        <w:spacing w:after="0" w:line="342" w:lineRule="auto"/>
        <w:tabs>
          <w:tab w:leader="none" w:pos="11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100" w:right="30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addition to, deletion of or change in the definitions, covenants, and successors described in this prospectus or in the indenture with respect to the debt securities;</w:t>
      </w:r>
    </w:p>
    <w:p>
      <w:pPr>
        <w:spacing w:after="0" w:line="75" w:lineRule="exact"/>
        <w:rPr>
          <w:rFonts w:ascii="Arial" w:cs="Arial" w:eastAsia="Arial" w:hAnsi="Arial"/>
          <w:sz w:val="18"/>
          <w:szCs w:val="18"/>
          <w:color w:val="auto"/>
        </w:rPr>
      </w:pPr>
    </w:p>
    <w:p>
      <w:pPr>
        <w:ind w:left="1100" w:right="50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appointed with respect to the debt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675"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200" w:hanging="433"/>
        <w:spacing w:after="0" w:line="301" w:lineRule="auto"/>
        <w:tabs>
          <w:tab w:leader="none" w:pos="11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provisions, if any, relating to conversion or exchange of any series of debt securities, including if applicable, the conversion or exchange price and period, the securities or other property into which the debt securities will be convertible, provisions as to whether conversion or exchange will be mandatory, at the option of the holders thereof or at our option, the events requiring an adjustment of the conversion price or exchange price, and provisions affecting conversion or exchange if that series of debt securities is redeemed; and</w:t>
      </w:r>
    </w:p>
    <w:p>
      <w:pPr>
        <w:spacing w:after="0" w:line="62" w:lineRule="exact"/>
        <w:rPr>
          <w:rFonts w:ascii="Arial" w:cs="Arial" w:eastAsia="Arial" w:hAnsi="Arial"/>
          <w:sz w:val="16"/>
          <w:szCs w:val="16"/>
          <w:color w:val="auto"/>
        </w:rPr>
      </w:pPr>
    </w:p>
    <w:p>
      <w:pPr>
        <w:ind w:left="1100" w:right="60" w:hanging="433"/>
        <w:spacing w:after="0" w:line="263"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series of debt securities that may supplement, modify, or delete any provision of the indenture (including any definitions therein) as it applies to that series, including any terms that may be required under applicable law or regulations or advisable in connection with the marketing of the debt securities.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addition, we will provide you with information on the federal income tax considerations and other special considerations applicable to any of these debt securities in the applicable prospectus supplement.</w:t>
      </w:r>
    </w:p>
    <w:p>
      <w:pPr>
        <w:spacing w:after="0" w:line="170"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or any premium or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the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Each debt security will be represented by either one or more global securities registered in the name of The Depository Trust Company, as the depositary, or a nominee of the depositary (we will refer to any such debt security as a “global debt security”), or a certificate issued in definitive registered form (we will refer to any debt security represented by a certificate as a “certificated debt security”) as set forth in the applicable prospectus supplement. Except as set forth below, global debt securities will not be issuable in certificated form.</w:t>
      </w:r>
    </w:p>
    <w:p>
      <w:pPr>
        <w:spacing w:after="0" w:line="17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i w:val="1"/>
          <w:iCs w:val="1"/>
          <w:color w:val="auto"/>
        </w:rPr>
        <w:t xml:space="preserve">Certificated Debt Securities. </w:t>
      </w:r>
      <w:r>
        <w:rPr>
          <w:rFonts w:ascii="Arial" w:cs="Arial" w:eastAsia="Arial" w:hAnsi="Arial"/>
          <w:sz w:val="17"/>
          <w:szCs w:val="17"/>
          <w:color w:val="auto"/>
        </w:rPr>
        <w:t>You may transfer or exchange certificated debt securities at any office we maintain for this purpose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and any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i w:val="1"/>
          <w:iCs w:val="1"/>
          <w:color w:val="auto"/>
        </w:rPr>
        <w:t xml:space="preserve">Global Debt Securities and Book-Entry System. </w:t>
      </w:r>
      <w:r>
        <w:rPr>
          <w:rFonts w:ascii="Arial" w:cs="Arial" w:eastAsia="Arial" w:hAnsi="Arial"/>
          <w:sz w:val="16"/>
          <w:szCs w:val="16"/>
          <w:color w:val="auto"/>
        </w:rPr>
        <w:t>Each global debt security will be deposited with, or on behalf of, the depositary, and registered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name of the depositary or a nominee of the depositary. Beneficial interests in global debt securities will not be issuable in certificated form unless</w:t>
      </w:r>
    </w:p>
    <w:p>
      <w:pPr>
        <w:ind w:left="120" w:hanging="4"/>
        <w:spacing w:after="0" w:line="252"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depositary has notified us that it is unwilling or unable to continue as depositary for that global debt security or has ceased to be qualified to act as such as required by the indenture and we fail to appoint a successor depositary within 90 days of such event; (ii) we determine, in our sole discretion, not to have those securities represented by one or more global securities; or (iii) any other circumstances shall exist, in addition to or in lieu of those described above, as may be described in the applicable prospectus supplement. Unless and until a global debt security is exchanged for certificated debt securities under the limited circumstances described in the previous sentence,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675"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indenture generally provides that we may not consolidate with or merge with or into, sell, convey, transfer, or dispose of all or substantially all of our assets to another entity, whether in one transaction or a series of related transactions, unless: (a)(i) the Company is the surviving corporation or</w:t>
      </w:r>
    </w:p>
    <w:p>
      <w:pPr>
        <w:ind w:left="120" w:right="100" w:hanging="4"/>
        <w:spacing w:after="0" w:line="252" w:lineRule="auto"/>
        <w:tabs>
          <w:tab w:leader="none" w:pos="3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successor person (if other than the Company) (A) is a corporation, limited liability corporation, partnership, or trust organized under the laws of the United States, any state thereof, or the District of Columbia, and (B) expressly assumes by a supplemental indenture all of our obligations under the debt securities and the indenture, and (b) immediately after giving effect to the transaction no default or Event of Default (as defined below) and no circumstances which, after notice or lapse of time or both, would become an Event of Default, shall have happened and be continuing, and (c) we shall have delivered to the trustee an officer’s certificate and an opinion of counsel, each stating that such consolidation, merger, or transfer and such supplemental indenture comply with the indenture.</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Notwithstanding the above, (i) any subsidiary of the Company may consolidate with, merge into, or transfer all or part of its properties to us and</w:t>
      </w:r>
    </w:p>
    <w:p>
      <w:pPr>
        <w:spacing w:after="0" w:line="46" w:lineRule="exact"/>
        <w:rPr>
          <w:sz w:val="20"/>
          <w:szCs w:val="20"/>
          <w:color w:val="auto"/>
        </w:rPr>
      </w:pPr>
    </w:p>
    <w:p>
      <w:pPr>
        <w:ind w:left="120" w:right="20" w:hanging="4"/>
        <w:spacing w:after="0" w:line="253" w:lineRule="auto"/>
        <w:tabs>
          <w:tab w:leader="none" w:pos="3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may merge with or into an affiliate of the Company incorporated or formed solely for the purpose of reincorporating or reorganizing the Company in another state of the United States or the District of Columbia or changing the legal domicile of the Company or for the sole purpose of forming or collapsing a holding company structure or changing the form of legal entity. Neither an officer’s certificate nor an opinion of counsel shall be required to be delivered in connection therewith.</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means, with respect to any series of debt securities, any of the following:</w:t>
      </w:r>
    </w:p>
    <w:p>
      <w:pPr>
        <w:spacing w:after="0" w:line="131" w:lineRule="exact"/>
        <w:rPr>
          <w:sz w:val="20"/>
          <w:szCs w:val="20"/>
          <w:color w:val="auto"/>
        </w:rPr>
      </w:pPr>
    </w:p>
    <w:p>
      <w:pPr>
        <w:ind w:left="1100" w:right="140" w:hanging="433"/>
        <w:spacing w:after="0" w:line="263"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on, any debt security of that series at its maturity;</w:t>
      </w:r>
    </w:p>
    <w:p>
      <w:pPr>
        <w:spacing w:after="0" w:line="130" w:lineRule="exact"/>
        <w:rPr>
          <w:rFonts w:ascii="Arial" w:cs="Arial" w:eastAsia="Arial" w:hAnsi="Arial"/>
          <w:sz w:val="18"/>
          <w:szCs w:val="18"/>
          <w:color w:val="auto"/>
        </w:rPr>
      </w:pPr>
    </w:p>
    <w:p>
      <w:pPr>
        <w:jc w:val="both"/>
        <w:ind w:left="1100" w:right="220" w:hanging="433"/>
        <w:spacing w:after="0" w:line="263"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by us in the indenture (other than defaults described above or defaults relating to a covenant that has been included in the indenture solely for the benefit of a series of debt securities other than that series), which default continues uncured for a period of 90 days after we receive written notice thereof;</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specified events of bankruptcy, insolvency, or reorganization; and</w:t>
      </w:r>
    </w:p>
    <w:p>
      <w:pPr>
        <w:spacing w:after="0" w:line="130"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series of debt securities that is described in the applicable supplemental indenture or prospectus supplement.</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an Event of Default with respect to any series of debt securities at the time outstanding occurs and is continuing (other than an Event of Default resulting from certain events of bankruptcy, insolvency, or reorganization),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675"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bankruptcy, insolvency, or reorganization, the principal amount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by written notice to us and the trustee, may rescind and annul such declaration of acceleration and its consequences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those discount securities upon the occurrence of an Event of Default.</w:t>
      </w:r>
    </w:p>
    <w:p>
      <w:pPr>
        <w:spacing w:after="0" w:line="19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indenture provides that the trustee will be under no obligation to perform any duty or exercise any of its rights or powers under the indenture unless the trustee receives indemnity satisfactory to it against any cost, liability, or expense, which might be incurred by it in performing that duty or exercising that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100" w:hanging="433"/>
        <w:spacing w:after="0"/>
        <w:tabs>
          <w:tab w:leader="none" w:pos="11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w:t>
      </w:r>
    </w:p>
    <w:p>
      <w:pPr>
        <w:spacing w:after="0" w:line="153" w:lineRule="exact"/>
        <w:rPr>
          <w:rFonts w:ascii="Arial" w:cs="Arial" w:eastAsia="Arial" w:hAnsi="Arial"/>
          <w:sz w:val="16"/>
          <w:szCs w:val="16"/>
          <w:color w:val="auto"/>
        </w:rPr>
      </w:pPr>
    </w:p>
    <w:p>
      <w:pPr>
        <w:ind w:left="1100" w:right="440" w:hanging="433"/>
        <w:spacing w:after="0" w:line="308" w:lineRule="auto"/>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holders of not less than 25% in principal amount of the outstanding debt securities of that series have made written request to the trustee to institute the proceedings in respect of that Event of Default in its own name as trustee under the indenture;</w:t>
      </w:r>
    </w:p>
    <w:p>
      <w:pPr>
        <w:spacing w:after="0" w:line="51" w:lineRule="exact"/>
        <w:rPr>
          <w:rFonts w:ascii="Arial" w:cs="Arial" w:eastAsia="Arial" w:hAnsi="Arial"/>
          <w:sz w:val="17"/>
          <w:szCs w:val="17"/>
          <w:color w:val="auto"/>
        </w:rPr>
      </w:pPr>
    </w:p>
    <w:p>
      <w:pPr>
        <w:ind w:left="1100" w:right="700" w:hanging="433"/>
        <w:spacing w:after="0" w:line="277"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the request;</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trustee has failed to institute any such proceeding for 60 days after its receipt of such notice, request, and offer of indemnity; and</w:t>
      </w:r>
    </w:p>
    <w:p>
      <w:pPr>
        <w:spacing w:after="0" w:line="142" w:lineRule="exact"/>
        <w:rPr>
          <w:rFonts w:ascii="Arial" w:cs="Arial" w:eastAsia="Arial" w:hAnsi="Arial"/>
          <w:sz w:val="17"/>
          <w:szCs w:val="17"/>
          <w:color w:val="auto"/>
        </w:rPr>
      </w:pPr>
    </w:p>
    <w:p>
      <w:pPr>
        <w:ind w:left="1100" w:right="520" w:hanging="433"/>
        <w:spacing w:after="0" w:line="277"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that 60-day period by holders of a majority in principal amount of the outstanding debt securities of that series.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and any interest on, that debt security on or after the due dates expressed in that debt security (or, in the case of redemption, on the redemption date, subject to the satisfaction of any conditions to such redemption) and to institute suit for the enforcement of any such payment, and such rights shall not be impaired without the consent of such holder.</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from our principal executive officer, principal financial officer, or principal accounting officer. If a default or Event of Default occurs and is continuing with respect to the debt securities of any series and if it is actually known to a responsible officer of the trustee, the trustee shall mail to each holder of the debt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675" w:right="4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and the trustee may modify and amend or supplement the indenture or the debt securities of one or more series without the consent of any holder of any debt security:</w:t>
      </w:r>
    </w:p>
    <w:p>
      <w:pPr>
        <w:spacing w:after="0" w:line="76" w:lineRule="exact"/>
        <w:rPr>
          <w:sz w:val="20"/>
          <w:szCs w:val="20"/>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 series or secure debt securities of a series;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any series of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comply with the applicable rules or procedures of any applicable depositary;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comply with the provisions of the indenture concerning consolidations, mergers, and transfers of all or substantially all of our assets;</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make any change that does not materially adversely affect the rights of any holder of that series of debt securities;</w:t>
      </w:r>
    </w:p>
    <w:p>
      <w:pPr>
        <w:spacing w:after="0" w:line="130" w:lineRule="exact"/>
        <w:rPr>
          <w:rFonts w:ascii="Arial" w:cs="Arial" w:eastAsia="Arial" w:hAnsi="Arial"/>
          <w:sz w:val="18"/>
          <w:szCs w:val="18"/>
          <w:color w:val="auto"/>
        </w:rPr>
      </w:pPr>
    </w:p>
    <w:p>
      <w:pPr>
        <w:ind w:left="1100" w:right="120" w:hanging="433"/>
        <w:spacing w:after="0" w:line="342" w:lineRule="auto"/>
        <w:tabs>
          <w:tab w:leader="none" w:pos="11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evidence and provide for the appointment of a successor trustee with respect to the debt securities of any series and to add to or change any of the provisions of the indenture as shall be necessary to provide for or facilitate administration by more than one trustee;</w:t>
      </w:r>
    </w:p>
    <w:p>
      <w:pPr>
        <w:spacing w:after="0" w:line="29" w:lineRule="exact"/>
        <w:rPr>
          <w:rFonts w:ascii="Arial" w:cs="Arial" w:eastAsia="Arial" w:hAnsi="Arial"/>
          <w:sz w:val="16"/>
          <w:szCs w:val="16"/>
          <w:color w:val="auto"/>
        </w:rPr>
      </w:pPr>
    </w:p>
    <w:p>
      <w:pPr>
        <w:ind w:left="1100" w:hanging="433"/>
        <w:spacing w:after="0"/>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142" w:lineRule="exact"/>
        <w:rPr>
          <w:rFonts w:ascii="Arial" w:cs="Arial" w:eastAsia="Arial" w:hAnsi="Arial"/>
          <w:sz w:val="17"/>
          <w:szCs w:val="17"/>
          <w:color w:val="auto"/>
        </w:rPr>
      </w:pPr>
    </w:p>
    <w:p>
      <w:pPr>
        <w:ind w:left="1100" w:right="100" w:hanging="433"/>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comply with the rules or regulations of any securities exchange or automated quotation system on which any of the debt securities may be listed or traded;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100" w:right="220" w:hanging="433"/>
        <w:spacing w:after="0" w:line="263"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shall not be effective with respect to any outstanding debt securities of any series created prior to the execution of such supplemental indenture which is entitled to the benefit of such provision; and</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certain other reasons set forth in any prospectus supplement.</w:t>
      </w:r>
    </w:p>
    <w:p>
      <w:pPr>
        <w:spacing w:after="0" w:line="225"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100" w:hanging="433"/>
        <w:spacing w:after="0"/>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reduce the principal amount of debt securities of that series whose holders must consent to an amendment, supplement or waiver;</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 or that series;</w:t>
      </w:r>
    </w:p>
    <w:p>
      <w:pPr>
        <w:spacing w:after="0" w:line="130" w:lineRule="exact"/>
        <w:rPr>
          <w:rFonts w:ascii="Arial" w:cs="Arial" w:eastAsia="Arial" w:hAnsi="Arial"/>
          <w:sz w:val="18"/>
          <w:szCs w:val="18"/>
          <w:color w:val="auto"/>
        </w:rPr>
      </w:pPr>
    </w:p>
    <w:p>
      <w:pPr>
        <w:ind w:left="1100" w:right="60" w:hanging="433"/>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 of that series or reduce the amount of, or postpone the date fixed for, the payment of any sinking fund or analogous obligation with respect to that series of debt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675"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of that series payable upon acceleration of maturity;</w:t>
      </w:r>
    </w:p>
    <w:p>
      <w:pPr>
        <w:spacing w:after="0" w:line="130" w:lineRule="exact"/>
        <w:rPr>
          <w:rFonts w:ascii="Arial" w:cs="Arial" w:eastAsia="Arial" w:hAnsi="Arial"/>
          <w:sz w:val="18"/>
          <w:szCs w:val="18"/>
          <w:color w:val="auto"/>
        </w:rPr>
      </w:pPr>
    </w:p>
    <w:p>
      <w:pPr>
        <w:ind w:left="1100" w:right="480" w:hanging="433"/>
        <w:spacing w:after="0" w:line="286" w:lineRule="auto"/>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waive a default or Event of Default in the payment of the principal of, or interest, if any, on any debt security of that series (except a rescission of acceleration of the debt securities of any series by the holders of at least a majority in principal amount of the then outstanding debt securities of that series and a waiver of the payment default that resulted from such acceleration);</w:t>
      </w:r>
    </w:p>
    <w:p>
      <w:pPr>
        <w:spacing w:after="0" w:line="70" w:lineRule="exact"/>
        <w:rPr>
          <w:rFonts w:ascii="Arial" w:cs="Arial" w:eastAsia="Arial" w:hAnsi="Arial"/>
          <w:sz w:val="17"/>
          <w:szCs w:val="17"/>
          <w:color w:val="auto"/>
        </w:rPr>
      </w:pPr>
    </w:p>
    <w:p>
      <w:pPr>
        <w:ind w:left="1100" w:hanging="433"/>
        <w:spacing w:after="0"/>
        <w:tabs>
          <w:tab w:leader="none" w:pos="11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make the principal of, or any interest on, any debt security of that series payable in currency other than that stated in the debt security;</w:t>
      </w:r>
    </w:p>
    <w:p>
      <w:pPr>
        <w:spacing w:after="0" w:line="153" w:lineRule="exact"/>
        <w:rPr>
          <w:rFonts w:ascii="Arial" w:cs="Arial" w:eastAsia="Arial" w:hAnsi="Arial"/>
          <w:sz w:val="16"/>
          <w:szCs w:val="16"/>
          <w:color w:val="auto"/>
        </w:rPr>
      </w:pPr>
    </w:p>
    <w:p>
      <w:pPr>
        <w:ind w:left="1100" w:right="80" w:hanging="433"/>
        <w:spacing w:after="0" w:line="263"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(i) the right of holders of debt securities to receive payment of the principal of, and any interest on, those debt securities and to institute suit for the enforcement of any such payment and (ii) waivers or amendments; or</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waive a redemption payment with respect to any debt security of that series, provided that such redemption is made at our option.</w:t>
      </w:r>
    </w:p>
    <w:p>
      <w:pPr>
        <w:spacing w:after="0" w:line="23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Except for certain specified provisions, the holders of at least a majority in principal amount of the outstanding debt securities of any series may, on behalf of the holders of all debt securities of that series, by written notice to the trustee, waive our compliance with provisions of the indenture or the debt securities with respect to that series. The holders of a majority in principal amount of the outstanding debt securities of any series may, on behalf of the holders of all the debt securities of that series, waive any past 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shall cease to be of further effect with respect to a series of debt securities when either:</w:t>
      </w:r>
    </w:p>
    <w:p>
      <w:pPr>
        <w:spacing w:after="0" w:line="131" w:lineRule="exact"/>
        <w:rPr>
          <w:sz w:val="20"/>
          <w:szCs w:val="20"/>
          <w:color w:val="auto"/>
        </w:rPr>
      </w:pPr>
    </w:p>
    <w:p>
      <w:pPr>
        <w:ind w:left="1100" w:right="100" w:hanging="433"/>
        <w:spacing w:after="0" w:line="277"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delivered to the trustee for cancellation all outstanding debt securities of that series, other than any debt securities that have been destroyed, lost, or stolen and that have been replaced or paid as provided in the indenture;</w:t>
      </w:r>
    </w:p>
    <w:p>
      <w:pPr>
        <w:spacing w:after="0" w:line="75" w:lineRule="exact"/>
        <w:rPr>
          <w:rFonts w:ascii="Arial" w:cs="Arial" w:eastAsia="Arial" w:hAnsi="Arial"/>
          <w:sz w:val="18"/>
          <w:szCs w:val="18"/>
          <w:color w:val="auto"/>
        </w:rPr>
      </w:pPr>
    </w:p>
    <w:p>
      <w:pPr>
        <w:ind w:left="1100" w:hanging="433"/>
        <w:spacing w:after="0" w:line="255"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not been delivered to the trustee for cancellation have become due and payable or are by their terms to become due and payable within one year or are to be called for redemption within one year under arrangements satisfactory to the trustee for the giving of notice of redemption, and we have irrevocably deposited with the trustee as trust funds the entire amount, in cash in U.S. dollars or U.S. governmental obligations, sufficient to pay at maturity or upon redemption all debt securities of that series, including principal of and any premium and interest due or to become due to such date of maturity or date fixed for redemption, as the case may be; or</w:t>
      </w:r>
    </w:p>
    <w:p>
      <w:pPr>
        <w:spacing w:after="0" w:line="97" w:lineRule="exact"/>
        <w:rPr>
          <w:rFonts w:ascii="Arial" w:cs="Arial" w:eastAsia="Arial" w:hAnsi="Arial"/>
          <w:sz w:val="18"/>
          <w:szCs w:val="18"/>
          <w:color w:val="auto"/>
        </w:rPr>
      </w:pPr>
    </w:p>
    <w:p>
      <w:pPr>
        <w:ind w:left="1100" w:right="340" w:hanging="433"/>
        <w:spacing w:after="0" w:line="277"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properly fulfilled any other means of satisfaction and discharge that may be set forth in the terms of the debt securities of that series.</w:t>
      </w:r>
    </w:p>
    <w:p>
      <w:pPr>
        <w:spacing w:after="0" w:line="170"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each case, we will also pay all other sums payable by us under the indenture with respect to the debt securities of that series and deliver to the trustee an opinion of counsel and an officer’s certificate, each stating that all conditions precedent to satisfaction and discharge with respect to the debt securities of that series have been complied with.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i w:val="1"/>
          <w:iCs w:val="1"/>
          <w:color w:val="auto"/>
        </w:rPr>
        <w:t xml:space="preserve">Legal Defeasance. </w:t>
      </w:r>
      <w:r>
        <w:rPr>
          <w:rFonts w:ascii="Arial" w:cs="Arial" w:eastAsia="Arial" w:hAnsi="Arial"/>
          <w:sz w:val="18"/>
          <w:szCs w:val="18"/>
          <w:color w:val="auto"/>
        </w:rPr>
        <w:t>The indenture provides that, unless otherwise provided by the terms of the applicable series of debt securities, we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discharged from any and all obligations in respect of the debt securities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675" w:right="4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and interest, if any, on and any mandatory sinking fund payments in respect of the debt securities of that series on the stated maturity of those payments in accordance with the terms of the indenture and those debt securities.</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unless otherwise provided by the terms of the applicable series of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compliance with certain conditions, which we refer to as covenant defeasance, then:</w:t>
      </w:r>
    </w:p>
    <w:p>
      <w:pPr>
        <w:spacing w:after="0" w:line="76" w:lineRule="exact"/>
        <w:rPr>
          <w:sz w:val="20"/>
          <w:szCs w:val="20"/>
          <w:color w:val="auto"/>
        </w:rPr>
      </w:pPr>
    </w:p>
    <w:p>
      <w:pPr>
        <w:ind w:left="1100" w:right="24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released from our obligations with respect to certain covenants set forth in the indenture, as well as any additional covenants that may be set forth in the applicable prospectus supplement and supplemental indenture; and</w:t>
      </w:r>
    </w:p>
    <w:p>
      <w:pPr>
        <w:spacing w:after="0" w:line="75" w:lineRule="exact"/>
        <w:rPr>
          <w:rFonts w:ascii="Arial" w:cs="Arial" w:eastAsia="Arial" w:hAnsi="Arial"/>
          <w:sz w:val="18"/>
          <w:szCs w:val="18"/>
          <w:color w:val="auto"/>
        </w:rPr>
      </w:pPr>
    </w:p>
    <w:p>
      <w:pPr>
        <w:ind w:left="1100" w:right="10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100" w:hanging="433"/>
        <w:spacing w:after="0" w:line="273"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and interest, if any, on and any mandatory sinking fund payments in respect of the debt securities of that series on the stated maturity of those payments in accordance with the terms of the indenture and those debt securities;</w:t>
      </w:r>
    </w:p>
    <w:p>
      <w:pPr>
        <w:spacing w:after="0" w:line="83" w:lineRule="exact"/>
        <w:rPr>
          <w:rFonts w:ascii="Arial" w:cs="Arial" w:eastAsia="Arial" w:hAnsi="Arial"/>
          <w:sz w:val="17"/>
          <w:szCs w:val="17"/>
          <w:color w:val="auto"/>
        </w:rPr>
      </w:pPr>
    </w:p>
    <w:p>
      <w:pPr>
        <w:ind w:left="1100" w:right="180" w:hanging="433"/>
        <w:spacing w:after="0" w:line="259"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and</w:t>
      </w:r>
    </w:p>
    <w:p>
      <w:pPr>
        <w:spacing w:after="0" w:line="92" w:lineRule="exact"/>
        <w:rPr>
          <w:rFonts w:ascii="Arial" w:cs="Arial" w:eastAsia="Arial" w:hAnsi="Arial"/>
          <w:sz w:val="18"/>
          <w:szCs w:val="18"/>
          <w:color w:val="auto"/>
        </w:rPr>
      </w:pPr>
    </w:p>
    <w:p>
      <w:pPr>
        <w:ind w:left="1100" w:right="380" w:hanging="433"/>
        <w:spacing w:after="0" w:line="277"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delivering to the trustee an opinion of counsel and an officer’s certificate, each stating that all conditions precedent to defeasance with respect to the debt securities of that series have been complied with.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indenture and any debt securities issued thereunder will be governed by and construed in accordance with the laws of the State of New York (without regard to the conflicts of law provisions other than Section 5-1401 of the New York General Obligations Law).</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675"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subordinated debt securities will be subordinate and junior in priority to certain of our other indebtedness to the extent described in a prospectus supplement.</w:t>
      </w:r>
    </w:p>
    <w:p>
      <w:pPr>
        <w:spacing w:after="0" w:line="1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420"/>
          </w:cols>
          <w:pgMar w:left="320" w:top="675" w:right="11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may issue warrants to purchase shares of our common stock, shares of our preferred stock, or debt securities. We may issue warrants independently of or together with shares of our common stock, shares of our preferred stock, debt securities, or other securities offered by any prospectus supplement. Warrants sold with other securities may be attached to or separate from shares of our common stock, shares of our preferred stock, debt securities, or other securities. We may issue warrants under one or more warrant agreements between us and a bank or trust company, as warrant agent, which we will name in the prospectus supplement relating to the particular issue of offered warrants. If we appoint a warrant agent, such warrant agent will act solely as our agent in connection with the warrants and will not assume any obligation or relationship of agency or trust for or with any holders or beneficial owners of warrants.</w:t>
      </w:r>
    </w:p>
    <w:p>
      <w:pPr>
        <w:spacing w:after="0" w:line="19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prospectus supplement relating to any warrants we offer will include specific terms relating to the offering. These terms may include some or all of the following:</w:t>
      </w:r>
    </w:p>
    <w:p>
      <w:pPr>
        <w:spacing w:after="0" w:line="76" w:lineRule="exact"/>
        <w:rPr>
          <w:sz w:val="20"/>
          <w:szCs w:val="20"/>
          <w:color w:val="auto"/>
        </w:rPr>
      </w:pPr>
    </w:p>
    <w:p>
      <w:pPr>
        <w:ind w:left="1100" w:hanging="433"/>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aggregate number of warrants to be offered;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the warrants may be payable;</w:t>
      </w:r>
    </w:p>
    <w:p>
      <w:pPr>
        <w:spacing w:after="0" w:line="130" w:lineRule="exact"/>
        <w:rPr>
          <w:rFonts w:ascii="Arial" w:cs="Arial" w:eastAsia="Arial" w:hAnsi="Arial"/>
          <w:sz w:val="18"/>
          <w:szCs w:val="18"/>
          <w:color w:val="auto"/>
        </w:rPr>
      </w:pPr>
    </w:p>
    <w:p>
      <w:pPr>
        <w:ind w:left="1100" w:right="100" w:hanging="433"/>
        <w:spacing w:after="0" w:line="277"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designation and terms of the securities purchasable upon exercise of the warrants and the number of securities issuable upon exercise of the warrants;</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including composite currencies, in which the securities purchasable upon exercise of the warrants may be purchased;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will expire;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applicable, the terms related to any permitted adjustment in the exercise price of or number of securities covered by the warrants;</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applicable, a discussion of any material federal income tax considerations;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warrants.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Holders of the warrants may exercise the warrants at any time up to the specified time on the expiration date that we set forth in the applicable prospectus supplement. After the specified time on the expiration date, unexercised warrants will become void.</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Warrants may be exercised as described in the applicable prospectus supplement. Upon receipt of the required payment and the warrant certificate properly completed and duly executed at the corporate trust office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675" w:right="5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warrant agent or any other office indicated in the applicable prospectus supplement, we will, as soon as practicable, issue and deliver the underlying securities purchasable upon such exercise. If fewer than all of the warrants represented by a warrant certificate are exercised, we will issue a new warrant certificate for the remaining amount of warrants.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description in the applicable prospectus supplement of any warrants we offer will not necessarily be complete and will be qualified in its entirety by reference to the applicable form of warrant agreement, including a form of warrant certificate, which will describe the terms of the series of warrants being offered, and which will be filed with the SEC and incorporated by reference in the registration statement of which this prospectus is a part.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320" w:top="675" w:right="5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may issue rights for the purchase of shares of our common stock, shares of our preferred stock, or debt securities. Each series of rights will be issued under a separate rights agreement to be entered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w:t>
      </w:r>
    </w:p>
    <w:p>
      <w:pPr>
        <w:spacing w:after="0" w:line="17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prospectus supplement relating to any rights we offer will describe the specific terms of those rights. These terms may include some or all of the following:</w:t>
      </w:r>
    </w:p>
    <w:p>
      <w:pPr>
        <w:spacing w:after="0" w:line="76" w:lineRule="exact"/>
        <w:rPr>
          <w:sz w:val="20"/>
          <w:szCs w:val="20"/>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for determining the persons entitled to participate in the rights distribution;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title and aggregate number or amount of underlying securities purchasable upon exercise of the rights and the exercise price;</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number of rights being issued;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if any, on and after which the rights may be transferable separately;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rights outstanding, if any;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applicable, a discussion of any material federal income tax considerations; and</w:t>
      </w:r>
    </w:p>
    <w:p>
      <w:pPr>
        <w:spacing w:after="0" w:line="130" w:lineRule="exact"/>
        <w:rPr>
          <w:rFonts w:ascii="Arial" w:cs="Arial" w:eastAsia="Arial" w:hAnsi="Arial"/>
          <w:sz w:val="18"/>
          <w:szCs w:val="18"/>
          <w:color w:val="auto"/>
        </w:rPr>
      </w:pPr>
    </w:p>
    <w:p>
      <w:pPr>
        <w:ind w:left="1100" w:right="340" w:hanging="433"/>
        <w:spacing w:after="0" w:line="277"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terms of the rights, including the terms, procedures, and limitations relating to the distribution, exchange and exercise of the rights.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description in the applicable prospectus supplement of any rights we offer will not necessarily be complete and will be qualified in its entirety by reference to the applicable form of rights agreement, which will describe the terms of the series of rights being offered, and which will be filed with the SEC and incorporated by reference in the registration statement of which this prospectus is a part.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675" w:right="4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we offer will describe the terms of those units. These terms may include some or all of the following:</w:t>
      </w:r>
    </w:p>
    <w:p>
      <w:pPr>
        <w:spacing w:after="0" w:line="76" w:lineRule="exact"/>
        <w:rPr>
          <w:sz w:val="20"/>
          <w:szCs w:val="20"/>
          <w:color w:val="auto"/>
        </w:rPr>
      </w:pPr>
    </w:p>
    <w:p>
      <w:pPr>
        <w:ind w:left="1100" w:right="400" w:hanging="43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25"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description in the applicable prospectus supplement of any units we offer will not necessarily be complete. Such description will be qualified in its entirety by reference to the applicable form of unit agreement, including a form of unit certificate, which will describe the terms of the series of units being offered, and which will be filed with the SEC and incorporated by reference in the registration statement of which this prospectus is a part.</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675" w:right="51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may offer and sell the securities described in this prospectus from time to time in one or more transactions, including without limitation:</w:t>
      </w:r>
    </w:p>
    <w:p>
      <w:pPr>
        <w:spacing w:after="0" w:line="142" w:lineRule="exact"/>
        <w:rPr>
          <w:sz w:val="20"/>
          <w:szCs w:val="20"/>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one or more investors, including through a specific bidding, auction, or other process;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investors through agents;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agents;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or through brokers or dealers;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the public through underwriting syndicates led by one or more managing underwriters;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one or more underwriters acting alone for resale to investors or to the public;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pursuant to applicable law.</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addition, the manner in which we may offer and sell some or all of the securities described in this prospectus includes, without limitation, through:</w:t>
      </w:r>
    </w:p>
    <w:p>
      <w:pPr>
        <w:spacing w:after="0" w:line="76" w:lineRule="exact"/>
        <w:rPr>
          <w:sz w:val="20"/>
          <w:szCs w:val="20"/>
          <w:color w:val="auto"/>
        </w:rPr>
      </w:pPr>
    </w:p>
    <w:p>
      <w:pPr>
        <w:ind w:left="1100" w:right="140" w:hanging="433"/>
        <w:spacing w:after="0" w:line="277" w:lineRule="auto"/>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block trade in which a broker-dealer will attempt to sell as agent, but may position or resell a portion of the block, as principal, in order to facilitate the transaction;</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A prospectus supplement with respect to each offering of securities will set forth the terms of the offering and the method of distribution of the securities and will identify any firms acting as underwriters, dealers or agents in connection with the offering, including:</w:t>
      </w:r>
    </w:p>
    <w:p>
      <w:pPr>
        <w:spacing w:after="0" w:line="52" w:lineRule="exact"/>
        <w:rPr>
          <w:sz w:val="20"/>
          <w:szCs w:val="20"/>
          <w:color w:val="auto"/>
        </w:rPr>
      </w:pPr>
    </w:p>
    <w:p>
      <w:pPr>
        <w:ind w:left="1100" w:hanging="433"/>
        <w:spacing w:after="0"/>
        <w:tabs>
          <w:tab w:leader="none" w:pos="11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 if any;</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net proceeds to be received by us from the sale;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over-allotment options under which the underwriters may purchase additional securities from us;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underwriting discounts or commissions or agency fees and other items constituting compensation to underwriters, dealers or agents;</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securities exchange or markets on which the securities offered in the prospectus supplement may be listed.</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76" w:lineRule="exact"/>
        <w:rPr>
          <w:sz w:val="20"/>
          <w:szCs w:val="20"/>
          <w:color w:val="auto"/>
        </w:rPr>
      </w:pPr>
    </w:p>
    <w:p>
      <w:pPr>
        <w:ind w:left="1100" w:hanging="433"/>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675" w:right="4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200" w:hanging="433"/>
        <w:spacing w:after="0" w:line="277"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prices related to the prevailing market prices;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connection with the sale of the securities, underwriters, dealers, or agents may be deemed to have received compensation from us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Underwriters, dealers, and agents participating in the securities distribution may be deemed to be underwriters, and any discounts and commissions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to indemnification against and contribution toward specific civil liabilities, including liabilities under the Securities Act.</w:t>
      </w:r>
    </w:p>
    <w:p>
      <w:pPr>
        <w:spacing w:after="0" w:line="17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Any securities we sell pursuant to a prospectus supplement may or may not be listed on a national securities exchange.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w:t>
      </w:r>
    </w:p>
    <w:p>
      <w:pPr>
        <w:spacing w:after="0" w:line="16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connection with any offering, the underwriters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bids or purchases made for the purpose of preventing a decline in the market price of the securities while an offering is in progress. 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 These activities by the underwriters may stabilize, maintain, or otherwise affect the market price of the securities. As a result, the price of the securities may be higher than the price that otherwise might exist in the open market. If these activities are commenced, they may be discontinued by the underwriters at any time. 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w:t>
      </w:r>
    </w:p>
    <w:p>
      <w:pPr>
        <w:spacing w:after="0" w:line="16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Underwriters, dealers, or agents that participate in the offer of securities, or their affiliates or associates, may have engaged or engage in transactions with and perform services for, us or our affiliates in the ordinary course of business for which they may have received or receive customary fees and reimbursement of expenses.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675"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Unless otherwise indicated in the applicable prospectus supplement, certain legal matters regarding the validity of the securities to be offered by this prospectus will be passed upon for us by Reed Smith LLP, Los Angeles, California and New York, New York. Additional legal matters may be passed upon for us or any underwriters, dealers, or agents by counsel that will be named in the applicable prospectus supplement.</w:t>
      </w:r>
    </w:p>
    <w:p>
      <w:pPr>
        <w:spacing w:after="0" w:line="36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financial statements of Caribou Biosciences, Inc. as of December 31, 2021 and 2020, and for each of the three years in the period ended December 31, 2021, incorporated by reference in this prospectus by reference to Caribou Biosciences, Inc.’s Annual Report on Form 10-K for the year ended December 31, 2021,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320" w:top="675" w:right="61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60"/>
        <w:spacing w:after="0"/>
        <w:rPr>
          <w:sz w:val="20"/>
          <w:szCs w:val="20"/>
          <w:color w:val="auto"/>
        </w:rPr>
      </w:pPr>
      <w:r>
        <w:rPr>
          <w:rFonts w:ascii="Arial" w:cs="Arial" w:eastAsia="Arial" w:hAnsi="Arial"/>
          <w:sz w:val="25"/>
          <w:szCs w:val="25"/>
          <w:b w:val="1"/>
          <w:bCs w:val="1"/>
          <w:color w:val="auto"/>
        </w:rPr>
        <w:t>19,230,769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174625</wp:posOffset>
            </wp:positionV>
            <wp:extent cx="2520315" cy="6261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252031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1675130</wp:posOffset>
            </wp:positionV>
            <wp:extent cx="1474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241300</wp:posOffset>
            </wp:positionV>
            <wp:extent cx="1474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BofA Securities</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Leerink Partners</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Evercore ISI</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July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424(b)(5)</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Caribou Biosciences,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44"/>
        </w:trPr>
        <w:tc>
          <w:tcPr>
            <w:tcW w:w="120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4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Filing Fee</w:t>
            </w: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Previously</w:t>
            </w: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Paid In</w:t>
            </w: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Connection</w:t>
            </w: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with</w:t>
            </w: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12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Proposed</w:t>
            </w:r>
          </w:p>
        </w:tc>
        <w:tc>
          <w:tcPr>
            <w:tcW w:w="122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Carry</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Unsold</w:t>
            </w: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12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4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Carry</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Carry</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or Carry</w:t>
            </w:r>
          </w:p>
        </w:tc>
        <w:tc>
          <w:tcPr>
            <w:tcW w:w="12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4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Initial</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to be</w:t>
            </w:r>
          </w:p>
        </w:tc>
      </w:tr>
      <w:tr>
        <w:trPr>
          <w:trHeight w:val="140"/>
        </w:trPr>
        <w:tc>
          <w:tcPr>
            <w:tcW w:w="120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5"/>
              </w:rPr>
              <w:t>Security</w:t>
            </w:r>
          </w:p>
        </w:tc>
        <w:tc>
          <w:tcPr>
            <w:tcW w:w="140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0"/>
              </w:rPr>
              <w:t>Class</w:t>
            </w:r>
          </w:p>
        </w:tc>
        <w:tc>
          <w:tcPr>
            <w:tcW w:w="72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93"/>
              </w:rPr>
              <w:t>Forward</w:t>
            </w:r>
          </w:p>
        </w:tc>
        <w:tc>
          <w:tcPr>
            <w:tcW w:w="122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9"/>
              </w:rPr>
              <w:t>Amount</w:t>
            </w:r>
          </w:p>
        </w:tc>
        <w:tc>
          <w:tcPr>
            <w:tcW w:w="68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7"/>
              </w:rPr>
              <w:t>Price</w:t>
            </w:r>
          </w:p>
        </w:tc>
        <w:tc>
          <w:tcPr>
            <w:tcW w:w="122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90"/>
              </w:rPr>
              <w:t>Offering</w:t>
            </w:r>
          </w:p>
        </w:tc>
        <w:tc>
          <w:tcPr>
            <w:tcW w:w="40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0"/>
              </w:rPr>
              <w:t>Fee</w:t>
            </w:r>
          </w:p>
        </w:tc>
        <w:tc>
          <w:tcPr>
            <w:tcW w:w="100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9"/>
              </w:rPr>
              <w:t>Registration</w:t>
            </w:r>
          </w:p>
        </w:tc>
        <w:tc>
          <w:tcPr>
            <w:tcW w:w="60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92"/>
              </w:rPr>
              <w:t>Form</w:t>
            </w:r>
          </w:p>
        </w:tc>
        <w:tc>
          <w:tcPr>
            <w:tcW w:w="58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9"/>
              </w:rPr>
              <w:t>File</w:t>
            </w:r>
          </w:p>
        </w:tc>
        <w:tc>
          <w:tcPr>
            <w:tcW w:w="58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3"/>
              </w:rPr>
              <w:t>effective</w:t>
            </w:r>
          </w:p>
        </w:tc>
        <w:tc>
          <w:tcPr>
            <w:tcW w:w="72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96"/>
              </w:rPr>
              <w:t>Carried</w:t>
            </w:r>
          </w:p>
        </w:tc>
      </w:tr>
      <w:tr>
        <w:trPr>
          <w:trHeight w:val="183"/>
        </w:trPr>
        <w:tc>
          <w:tcPr>
            <w:tcW w:w="1200" w:type="dxa"/>
            <w:vAlign w:val="bottom"/>
            <w:tcBorders>
              <w:left w:val="single" w:sz="8" w:color="auto"/>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Type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Rule</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 Unit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Fee</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Type</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Number</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date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Forward</w:t>
            </w:r>
          </w:p>
        </w:tc>
      </w:tr>
      <w:tr>
        <w:trPr>
          <w:trHeight w:val="239"/>
        </w:trPr>
        <w:tc>
          <w:tcPr>
            <w:tcW w:w="120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Newly</w:t>
            </w:r>
          </w:p>
        </w:tc>
        <w:tc>
          <w:tcPr>
            <w:tcW w:w="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72"/>
              </w:rPr>
              <w:t>Registered</w:t>
            </w: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Securities</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13"/>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6"/>
              </w:rPr>
              <w:t>Fees to</w:t>
            </w:r>
          </w:p>
        </w:tc>
        <w:tc>
          <w:tcPr>
            <w:tcW w:w="6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37"/>
        </w:trPr>
        <w:tc>
          <w:tcPr>
            <w:tcW w:w="12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Be 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15"/>
        </w:trPr>
        <w:tc>
          <w:tcPr>
            <w:tcW w:w="120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7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79"/>
              </w:rPr>
              <w:t>Fees</w:t>
            </w:r>
          </w:p>
        </w:tc>
        <w:tc>
          <w:tcPr>
            <w:tcW w:w="6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w:t>
            </w:r>
          </w:p>
        </w:tc>
        <w:tc>
          <w:tcPr>
            <w:tcW w:w="7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1"/>
              </w:rPr>
              <w:t>Previously</w:t>
            </w:r>
          </w:p>
        </w:tc>
        <w:tc>
          <w:tcPr>
            <w:tcW w:w="6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$0.0001 per</w:t>
            </w:r>
          </w:p>
        </w:tc>
        <w:tc>
          <w:tcPr>
            <w:tcW w:w="7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30"/>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Equity</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7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457(a)</w:t>
            </w:r>
          </w:p>
        </w:tc>
        <w:tc>
          <w:tcPr>
            <w:tcW w:w="1220" w:type="dxa"/>
            <w:vAlign w:val="bottom"/>
            <w:tcBorders>
              <w:right w:val="single" w:sz="8" w:color="auto"/>
            </w:tcBorders>
          </w:tcPr>
          <w:p>
            <w:pPr>
              <w:jc w:val="right"/>
              <w:ind w:right="18"/>
              <w:spacing w:after="0"/>
              <w:rPr>
                <w:sz w:val="20"/>
                <w:szCs w:val="20"/>
                <w:color w:val="auto"/>
              </w:rPr>
            </w:pPr>
            <w:r>
              <w:rPr>
                <w:rFonts w:ascii="Arial" w:cs="Arial" w:eastAsia="Arial" w:hAnsi="Arial"/>
                <w:sz w:val="18"/>
                <w:szCs w:val="18"/>
                <w:color w:val="auto"/>
                <w:w w:val="98"/>
              </w:rPr>
              <w:t>22,115,384(1)</w:t>
            </w:r>
          </w:p>
        </w:tc>
        <w:tc>
          <w:tcPr>
            <w:tcW w:w="680" w:type="dxa"/>
            <w:vAlign w:val="bottom"/>
            <w:tcBorders>
              <w:right w:val="single" w:sz="8" w:color="auto"/>
            </w:tcBorders>
          </w:tcPr>
          <w:p>
            <w:pPr>
              <w:jc w:val="right"/>
              <w:ind w:right="66"/>
              <w:spacing w:after="0"/>
              <w:rPr>
                <w:sz w:val="20"/>
                <w:szCs w:val="20"/>
                <w:color w:val="auto"/>
              </w:rPr>
            </w:pPr>
            <w:r>
              <w:rPr>
                <w:rFonts w:ascii="Arial" w:cs="Arial" w:eastAsia="Arial" w:hAnsi="Arial"/>
                <w:sz w:val="18"/>
                <w:szCs w:val="18"/>
                <w:color w:val="auto"/>
              </w:rPr>
              <w:t>$6.50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$143,749,996</w:t>
            </w:r>
          </w:p>
        </w:tc>
        <w:tc>
          <w:tcPr>
            <w:tcW w:w="4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$15,841.25</w:t>
            </w:r>
          </w:p>
        </w:tc>
        <w:tc>
          <w:tcPr>
            <w:tcW w:w="60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2"/>
        </w:trPr>
        <w:tc>
          <w:tcPr>
            <w:tcW w:w="120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Carry</w:t>
            </w: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Forward</w:t>
            </w: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Securities</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13"/>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Carry</w:t>
            </w:r>
          </w:p>
        </w:tc>
        <w:tc>
          <w:tcPr>
            <w:tcW w:w="6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Forward</w:t>
            </w:r>
          </w:p>
        </w:tc>
        <w:tc>
          <w:tcPr>
            <w:tcW w:w="6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44"/>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1"/>
              </w:rPr>
              <w:t>Securities</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6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0"/>
        </w:trPr>
        <w:tc>
          <w:tcPr>
            <w:tcW w:w="120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Offering Amounts</w:t>
            </w: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$143,749,996</w:t>
            </w:r>
          </w:p>
        </w:tc>
        <w:tc>
          <w:tcPr>
            <w:tcW w:w="4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$15,841.25</w:t>
            </w: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36"/>
        </w:trPr>
        <w:tc>
          <w:tcPr>
            <w:tcW w:w="1200" w:type="dxa"/>
            <w:vAlign w:val="bottom"/>
            <w:tcBorders>
              <w:left w:val="single" w:sz="8" w:color="auto"/>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8"/>
              </w:rPr>
              <w:t>Total Fees Previously Paid</w:t>
            </w: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$37,080</w:t>
            </w: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30"/>
        </w:trPr>
        <w:tc>
          <w:tcPr>
            <w:tcW w:w="1200" w:type="dxa"/>
            <w:vAlign w:val="bottom"/>
            <w:tcBorders>
              <w:left w:val="single" w:sz="8" w:color="auto"/>
              <w:right w:val="single" w:sz="8" w:color="auto"/>
            </w:tcBorders>
          </w:tcPr>
          <w:p>
            <w:pPr>
              <w:spacing w:after="0"/>
              <w:rPr>
                <w:sz w:val="20"/>
                <w:szCs w:val="20"/>
                <w:color w:val="auto"/>
              </w:rPr>
            </w:pPr>
          </w:p>
        </w:tc>
        <w:tc>
          <w:tcPr>
            <w:tcW w:w="2000" w:type="dxa"/>
            <w:vAlign w:val="bottom"/>
            <w:gridSpan w:val="2"/>
          </w:tcPr>
          <w:p>
            <w:pPr>
              <w:ind w:left="60"/>
              <w:spacing w:after="0"/>
              <w:rPr>
                <w:sz w:val="20"/>
                <w:szCs w:val="20"/>
                <w:color w:val="auto"/>
              </w:rPr>
            </w:pPr>
            <w:r>
              <w:rPr>
                <w:rFonts w:ascii="Arial" w:cs="Arial" w:eastAsia="Arial" w:hAnsi="Arial"/>
                <w:sz w:val="18"/>
                <w:szCs w:val="18"/>
                <w:color w:val="auto"/>
              </w:rPr>
              <w:t>Total Fee Offsets</w:t>
            </w:r>
          </w:p>
        </w:tc>
        <w:tc>
          <w:tcPr>
            <w:tcW w:w="72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6"/>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0"/>
        </w:trPr>
        <w:tc>
          <w:tcPr>
            <w:tcW w:w="1200" w:type="dxa"/>
            <w:vAlign w:val="bottom"/>
            <w:tcBorders>
              <w:left w:val="single" w:sz="8" w:color="auto"/>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Net Fee Due</w:t>
            </w: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bl>
    <w:p>
      <w:pPr>
        <w:spacing w:after="0" w:line="107" w:lineRule="exact"/>
        <w:rPr>
          <w:sz w:val="20"/>
          <w:szCs w:val="20"/>
          <w:color w:val="auto"/>
        </w:rPr>
      </w:pPr>
    </w:p>
    <w:p>
      <w:pPr>
        <w:ind w:left="444" w:hanging="444"/>
        <w:spacing w:after="0"/>
        <w:tabs>
          <w:tab w:leader="none" w:pos="4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2,884,615 shares of common stock that the underwriters have an option to purchase.</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lvl w:ilvl="1">
      <w:lvlJc w:val="left"/>
      <w:lvlText w:val="•"/>
      <w:numFmt w:val="bullet"/>
      <w:start w:val="1"/>
    </w:lvl>
  </w:abstractNum>
  <w:abstractNum w:abstractNumId="4">
    <w:nsid w:val="54E49EB4"/>
    <w:multiLevelType w:val="hybridMultilevel"/>
    <w:lvl w:ilvl="0">
      <w:lvlJc w:val="left"/>
      <w:lvlText w:val="•"/>
      <w:numFmt w:val="bullet"/>
      <w:start w:val="1"/>
    </w:lvl>
    <w:lvl w:ilvl="1">
      <w:lvlJc w:val="left"/>
      <w:lvlText w:val="•"/>
      <w:numFmt w:val="bullet"/>
      <w:start w:val="1"/>
    </w:lvl>
  </w:abstractNum>
  <w:abstractNum w:abstractNumId="5">
    <w:nsid w:val="71F32454"/>
    <w:multiLevelType w:val="hybridMultilevel"/>
    <w:lvl w:ilvl="0">
      <w:lvlJc w:val="left"/>
      <w:lvlText w:val="(%1)"/>
      <w:numFmt w:val="lowerRoman"/>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lowerRoman"/>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510"/>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510"/>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lowerRoman"/>
      <w:start w:val="1"/>
    </w:lvl>
  </w:abstractNum>
  <w:abstractNum w:abstractNumId="30">
    <w:nsid w:val="2D517796"/>
    <w:multiLevelType w:val="hybridMultilevel"/>
    <w:lvl w:ilvl="0">
      <w:lvlJc w:val="left"/>
      <w:lvlText w:val="(%1)"/>
      <w:numFmt w:val="lowerRoman"/>
      <w:start w:val="2"/>
    </w:lvl>
  </w:abstractNum>
  <w:abstractNum w:abstractNumId="31">
    <w:nsid w:val="580BD78F"/>
    <w:multiLevelType w:val="hybridMultilevel"/>
    <w:lvl w:ilvl="0">
      <w:lvlJc w:val="left"/>
      <w:lvlText w:val="(%1)"/>
      <w:numFmt w:val="lowerRoman"/>
      <w:start w:val="2"/>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jpe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jpe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54" Type="http://schemas.openxmlformats.org/officeDocument/2006/relationships/hyperlink" Target="http://www.sec.gov/ix?doc=/Archives/edgar/data/1619856/000161985623000037/crbu-20221231.htm" TargetMode="External"/><Relationship Id="rId55" Type="http://schemas.openxmlformats.org/officeDocument/2006/relationships/hyperlink" Target="http://www.sec.gov/ix?doc=/Archives/edgar/data/1619856/000161985623000071/crbu-20230331.htm" TargetMode="External"/><Relationship Id="rId56" Type="http://schemas.openxmlformats.org/officeDocument/2006/relationships/hyperlink" Target="http://www.sec.gov/Archives/edgar/data/1619856/000161985623000063/crbu-2022proxy.htm" TargetMode="External"/><Relationship Id="rId57" Type="http://schemas.openxmlformats.org/officeDocument/2006/relationships/hyperlink" Target="http://www.sec.gov/ix?doc=/Archives/edgar/data/1619856/000161985623000042/crbu-20230324.htm" TargetMode="External"/><Relationship Id="rId58" Type="http://schemas.openxmlformats.org/officeDocument/2006/relationships/hyperlink" Target="http://www.sec.gov/ix?doc=/Archives/edgar/data/1619856/000161985623000049/crbu-20230329.htm" TargetMode="External"/><Relationship Id="rId59" Type="http://schemas.openxmlformats.org/officeDocument/2006/relationships/hyperlink" Target="http://www.sec.gov/ix?doc=/Archives/edgar/data/1619856/000161985623000050/crbu-20230329.htm" TargetMode="External"/><Relationship Id="rId60" Type="http://schemas.openxmlformats.org/officeDocument/2006/relationships/hyperlink" Target="http://www.sec.gov/ix?doc=/Archives/edgar/data/1619856/000161985623000055/crbu-20230404.htm" TargetMode="External"/><Relationship Id="rId61" Type="http://schemas.openxmlformats.org/officeDocument/2006/relationships/hyperlink" Target="http://www.sec.gov/ix?doc=/Archives/edgar/data/1619856/000161985623000076/crbu-20230615.htm" TargetMode="External"/><Relationship Id="rId62" Type="http://schemas.openxmlformats.org/officeDocument/2006/relationships/hyperlink" Target="http://www.sec.gov/ix?doc=/Archives/edgar/data/1619856/000161985623000079/crbu-20230629.htm" TargetMode="External"/><Relationship Id="rId63" Type="http://schemas.openxmlformats.org/officeDocument/2006/relationships/hyperlink" Target="http://www.sec.gov/ix?doc=/Archives/edgar/data/0001619856/000161985623000084/crbu-20230713.htm" TargetMode="External"/><Relationship Id="rId64" Type="http://schemas.openxmlformats.org/officeDocument/2006/relationships/hyperlink" Target="http://www.sec.gov/ix?doc=/Archives/edgar/data/0001619856/000161985623000093/crbu-20230713.htm" TargetMode="External"/><Relationship Id="rId65" Type="http://schemas.openxmlformats.org/officeDocument/2006/relationships/hyperlink" Target="http://www.sec.gov/Archives/edgar/data/1619856/000119312521218592/d128937d8a12b.htm" TargetMode="External"/><Relationship Id="rId66" Type="http://schemas.openxmlformats.org/officeDocument/2006/relationships/hyperlink" Target="http://www.sec.gov/Archives/edgar/data/1619856/000095017022004233/crbu-ex4_1.htm" TargetMode="External"/><Relationship Id="rId76" Type="http://schemas.openxmlformats.org/officeDocument/2006/relationships/hyperlink" Target="http://www.sec.gov/ix?doc=/Archives/edgar/data/0001619856/000095017022004233/crbu-20211231.htm" TargetMode="External"/><Relationship Id="rId77" Type="http://schemas.openxmlformats.org/officeDocument/2006/relationships/hyperlink" Target="http://www.sec.gov/ix?doc=/Archives/edgar/data/0001619856/000095017022008513/crbu-20220331.htm" TargetMode="External"/><Relationship Id="rId78" Type="http://schemas.openxmlformats.org/officeDocument/2006/relationships/hyperlink" Target="http://www.sec.gov/ix?doc=/Archives/edgar/data/1619856/000095017022016053/crbu-20220630.htm" TargetMode="External"/><Relationship Id="rId79" Type="http://schemas.openxmlformats.org/officeDocument/2006/relationships/hyperlink" Target="http://www.sec.gov/ix?doc=/Archives/edgar/data/0001619856/000095017022000354/crbu-20220118.htm" TargetMode="External"/><Relationship Id="rId80" Type="http://schemas.openxmlformats.org/officeDocument/2006/relationships/hyperlink" Target="http://www.sec.gov/ix?doc=/Archives/edgar/data/0001619856/000095017022000401/crbu-20220113.htm" TargetMode="External"/><Relationship Id="rId81" Type="http://schemas.openxmlformats.org/officeDocument/2006/relationships/hyperlink" Target="http://www.sec.gov/ix?doc=/Archives/edgar/data/1619856/000095017022009315/crbu-20220510.htm" TargetMode="External"/><Relationship Id="rId82" Type="http://schemas.openxmlformats.org/officeDocument/2006/relationships/hyperlink" Target="http://www.sec.gov/ix?doc=/Archives/edgar/data/0001619856/000095017022009499/crbu-20220512.htm" TargetMode="External"/><Relationship Id="rId83" Type="http://schemas.openxmlformats.org/officeDocument/2006/relationships/hyperlink" Target="http://www.sec.gov/ix?doc=/Archives/edgar/data/0001619856/000095017022011433/crbu-20220610.htm" TargetMode="External"/><Relationship Id="rId84" Type="http://schemas.openxmlformats.org/officeDocument/2006/relationships/hyperlink" Target="http://www.sec.gov/ix?doc=/Archives/edgar/data/0001619856/000095017022012732/crbu-20220715.htm" TargetMode="External"/><Relationship Id="rId85" Type="http://schemas.openxmlformats.org/officeDocument/2006/relationships/hyperlink" Target="http://www.sec.gov/ix?doc=/Archives/edgar/data/0001619856/000095017022012759/crbu-20220511.htm" TargetMode="External"/><Relationship Id="rId86" Type="http://schemas.openxmlformats.org/officeDocument/2006/relationships/hyperlink" Target="http://www.sec.gov/ix?doc=/Archives/edgar/data/1619856/000095017022016031/crbu-20220809.htm" TargetMode="External"/><Relationship Id="rId87" Type="http://schemas.openxmlformats.org/officeDocument/2006/relationships/hyperlink" Target="http://www.sec.gov/Archives/edgar/data/0001619856/000119312521218592/d128937d8a12b.htm" TargetMode="External"/><Relationship Id="rId88" Type="http://schemas.openxmlformats.org/officeDocument/2006/relationships/hyperlink" Target="http://www.sec.gov/Archives/edgar/data/0001619856/000095017022004233/crbu-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2023-07-14T16:40:35Z</dcterms:created>
  <dcterms:modified xsi:type="dcterms:W3CDTF">2023-07-14T16:40:35Z</dcterms:modified>
</cp:coreProperties>
</file>