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Caribou Biosciences,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13"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001-40631</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45-3728228</w:t>
            </w:r>
          </w:p>
        </w:tc>
      </w:tr>
      <w:tr>
        <w:trPr>
          <w:trHeight w:val="178"/>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9"/>
              </w:rPr>
              <w:t>2929 7th Street, Suite 105</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2"/>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Berkeley, California</w:t>
            </w:r>
          </w:p>
        </w:tc>
        <w:tc>
          <w:tcPr>
            <w:tcW w:w="3680" w:type="dxa"/>
            <w:vAlign w:val="bottom"/>
          </w:tcPr>
          <w:p>
            <w:pPr>
              <w:spacing w:after="0"/>
              <w:rPr>
                <w:sz w:val="21"/>
                <w:szCs w:val="21"/>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94710</w:t>
            </w:r>
          </w:p>
        </w:tc>
      </w:tr>
      <w:tr>
        <w:trPr>
          <w:trHeight w:val="206"/>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7"/>
                <w:szCs w:val="17"/>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982-6030</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9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300" w:type="dxa"/>
            <w:vAlign w:val="bottom"/>
            <w:gridSpan w:val="2"/>
            <w:vMerge w:val="continue"/>
          </w:tcPr>
          <w:p>
            <w:pPr>
              <w:spacing w:after="0"/>
              <w:rPr>
                <w:sz w:val="20"/>
                <w:szCs w:val="20"/>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00" w:type="dxa"/>
            <w:vAlign w:val="bottom"/>
          </w:tcPr>
          <w:p>
            <w:pPr>
              <w:spacing w:after="0"/>
              <w:rPr>
                <w:sz w:val="19"/>
                <w:szCs w:val="19"/>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CRBU</w:t>
            </w:r>
          </w:p>
        </w:tc>
        <w:tc>
          <w:tcPr>
            <w:tcW w:w="8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23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11, 2026, Caribou Biosciences, Inc. (the "Company") issued a press release announcing data from its ANTLER phase 1 clinical trial that evaluated vispacabtagene regedleucel (“vispa-cel;” formerly CB-010), an allogeneic anti-CD19 chimeric antigen receptor ("CAR")-T (“CAR-T”) cell therapy product candidate, in patients with relapsed or refractory B cell non-Hodgkin lymphoma (“r/r B-NHL”). A copy of the press release is attached hereto as Exhibit 99.1 and incorporated by reference herein.</w:t>
      </w:r>
    </w:p>
    <w:p>
      <w:pPr>
        <w:spacing w:after="0" w:line="13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Also, on June 11, 2026, the Company issued a press release announcing longer follow-up data from the dose escalation portion of its ongoing CaMMouflage phase 1 trial evaluating CB-011, an allogeneic anti-B cell maturation antigen (“anti-BCMA”) CAR-T cell therapy product candidate, in</w:t>
      </w:r>
    </w:p>
    <w:p>
      <w:pPr>
        <w:sectPr>
          <w:pgSz w:w="11900" w:h="16838" w:orient="portrait"/>
          <w:cols w:equalWidth="0" w:num="1">
            <w:col w:w="11240"/>
          </w:cols>
          <w:pgMar w:left="320" w:top="1402" w:right="339" w:bottom="0" w:gutter="0" w:footer="0" w:header="0"/>
        </w:sectPr>
      </w:pPr>
    </w:p>
    <w:bookmarkStart w:id="1" w:name="page2"/>
    <w:bookmarkEnd w:id="1"/>
    <w:p>
      <w:pPr>
        <w:ind w:right="520"/>
        <w:spacing w:after="0" w:line="282" w:lineRule="auto"/>
        <w:rPr>
          <w:sz w:val="20"/>
          <w:szCs w:val="20"/>
          <w:color w:val="auto"/>
        </w:rPr>
      </w:pPr>
      <w:r>
        <w:rPr>
          <w:rFonts w:ascii="Times New Roman" w:cs="Times New Roman" w:eastAsia="Times New Roman" w:hAnsi="Times New Roman"/>
          <w:sz w:val="18"/>
          <w:szCs w:val="18"/>
          <w:color w:val="auto"/>
        </w:rPr>
        <w:t>patients with relapsed or refractory multiple myeloma (“r/r MM”). A copy of the press release is attached hereto as Exhibit 99.2 and incorporated by reference herein.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will present the follow-up data from both clinical trials at oral presentations at the European Hematology Association (“EHA”) 2026 Annual Meeting in Stockholm, Sweden, with the vispa-cel data presentation on June 12, 2026, and the CB-011 data presentation on June 14, 2026.</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and Exhibit 99.2) shall not be deemed “filed” for purposes of Section 18 of the Securities Exchange Act of 1934, as amended (“Exchange Act”), or otherwise subject to the liabilities of that section, nor shall it be, or be deemed, incorporated by reference in any filings under the Securities Act of 1933, as amended (“Securities Act”), regardless of any general incorporation language in any such filing or document, unless the Company specifically states that the information is to be considered “filed” under the Exchange Act or incorporates it by reference into a filing under the Securities Act or the Exchange 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On June 11, 2026, the Company announced long-term follow-up data from its ANTLER phase 1 clinical trial that evaluated vispa-cel, an off-the-shelf CD19-targeted CAR-T cell therapy product candidate, in patients with r/r B-NHL. The Company also announced longer follow-up data from the dose escalation portion of its ongoing CaMMouflage phase 1 clinical trial evaluating CB-011, an off-the-shelf BCMA-targeted CAR-T cell therapy product candidate, in patients with r/r MM. The Company will present the follow-up data from both clinical trials at oral presentations at the EHA 2026 Annual Meeting in Stockholm, Sweden, with the vispa-cel data presentation on June 12, 2026, and the CB-011 data presentation on June 14,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ANTLER Clinical Trial Results</w:t>
      </w:r>
    </w:p>
    <w:p>
      <w:pPr>
        <w:spacing w:after="0" w:line="189"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The ANTLER phase 1 clinical trial evaluated vispa-cel in adult patients with r/r B-NHL in a multicenter, open-label trial. As of the March 6, 2026, data cutoff date, 85 patients were treated in the ANTLER phase 1 clinical trial.</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the data cutoff date, 27 second-line ("2L") large B cell lymphoma ("LBCL") patients had received a single dose of 80 million optimized vispa-cel CAR-T cells (defined as cells from a donor younger than 30 years old with at least two matched human leukocyte antigen (“HLA”) alleles between patient and donor) following lymphodepletion with cyclophosphamide at 60 mg/kg/day for two days and fludarabine at 25 mg/m²/day for five days. This pivotal optimized vispa-cel subgroup best represents the treatment regimen and patient population for the planned ANTLER-3 phase 3 clinical trial. Efficacy data from the pivotal optimized vispa-cel subgroup included:</w:t>
      </w:r>
    </w:p>
    <w:p>
      <w:pPr>
        <w:spacing w:after="0" w:line="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overall response rate (“ORR”)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complete response rate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months median progression-free survival (“PFS”)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Vispa-cel was generally well tolerated. In the pivotal optimized vispa-cel subgroup (N=27), there were no reports of graft-versus-host disease (“GvHD”) or grade 3 or higher immune effector cell-associated neurotoxicity syndrome ("ICANS"), and there was one (4%) grade 3 or higher cytokine release syndrome (“CRS”). Other adverse events of special interest included six (22%) grade 3 or higher infections, five (21%; 5/24) grade 3 or higher prolonged cytopenias, and one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ind w:right="100"/>
        <w:spacing w:after="0" w:line="312" w:lineRule="auto"/>
        <w:rPr>
          <w:sz w:val="20"/>
          <w:szCs w:val="20"/>
          <w:color w:val="auto"/>
        </w:rPr>
      </w:pPr>
      <w:r>
        <w:rPr>
          <w:rFonts w:ascii="Times New Roman" w:cs="Times New Roman" w:eastAsia="Times New Roman" w:hAnsi="Times New Roman"/>
          <w:sz w:val="17"/>
          <w:szCs w:val="17"/>
          <w:color w:val="auto"/>
        </w:rPr>
        <w:t>grade 3 or higher immune effector cell-associated hemophagocytic lymphohistiocytosis-like syndrome (“IEC-HS”). In the pivotal optimized vispa-cel subgroup, one vispa-cel-related death occurred due to IEC-HS and one possibly related death occurred due to progressive multifocal leukoencephalopathy.</w:t>
      </w:r>
    </w:p>
    <w:p>
      <w:pPr>
        <w:spacing w:after="0" w:line="11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previously disclosed, the Company has reached alignment with the U.S. Food and Drug Administration ("FDA") on the design of ANTLER-3, a randomized, controlled pivotal phase 3 clinical trial expected to enroll approximately 250 CD19-naïve 2L LBCL patients who are not eligible for transplant and not candidates or not eligible for autologous CAR-T cell therapy based on access challenges or medical criteria, including the need for urgent therapy. Patients in the investigational arm will receive a single dose of 80 million optimized vispa-cel CAR-T cells following lymphodepletion. Patients in the comparator arm will be treated with an investigator’s choice of standard-of-care regimen: polatuzumab vedotin (“Pola”), bendamustine (“B”), and rituximab (“R”) (“Pola-BR”); R, gemcitabine, and oxaliplatin (“R-GemOx”); Pola-R-GemOx (“Pola-RGO”); or tafasitamab and lenalidomide. Crossover to the vispa-cel arm is permitted after progressive disease. The primary endpoint is PFS. The study is expected to be conducted at approximately 75 clinical trial sites globally, including academic and sophisticated community centers in the United States.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CaMMouflage Clinical Trial Results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CaMMouflage clinical trial is a multicenter, open-label phase 1 trial evaluating CB-011 in adults with r/r MM who have been treated with three or more prior lines of therapy. As of the May 26, 2026, efficacy data cutoff date, 48 patients had been treated with CB-011 in the dose escalation portion of the CaMMouflage phase 1 clinical trial. The recommended dose for expansion (“RDE”) is 450 million CB-011 CAR-T cells following lymphodepletion (“LD”) with 500 mg/m² cyclophosphamide and 30 mg/m² fludarabine daily for three days (“selected LD regimen”).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May 26, 2026, efficacy data cutoff date, 12 BCMA-naïve patients were treated with the RDE. Median follow up for this cohort is 17.7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efficacy results for this cohort are as follows:</w:t>
      </w:r>
    </w:p>
    <w:p>
      <w:pPr>
        <w:spacing w:after="0" w:line="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ORR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complete response or stringent complete response (“≥CR”) rate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minimal residual disease (“MRD”) negativity in 10 of 11 evaluable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patients in ≥CR at 15 months</w:t>
      </w:r>
    </w:p>
    <w:p>
      <w:pPr>
        <w:spacing w:after="0" w:line="1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the April 20, 2026, safety data cutoff date, CB-011 showed a manageable safety profile across all patients with no cases of GvHD, immune effector cell-associated enterocolitis, parkinsonism, or cranial nerve palsies (N=48). In all patients treated with the selected LD regimen (N=35), there was one CB-011-related death due to immune effector cell-associated hematotoxicity and three unrelated deaths due to pneumonia, respiratory syncytial virus, and respiratory acidosis, respectively. In the 12-patient BCMA-naïve RDE cohort, there were no reports of grade 3 or higher ICANS and one (8%) grade 3 or higher CRS. Other adverse events of special interest in the RDE cohort included three (25%) grade 3 or higher infections, one (8%) grade 3 or higher IEC-HS, and 5 (42%; 5/12) grade 3 or higher prolonged cytopenias.</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also reported a patient case study of a 71-year-old male with r/r MM who received eight prior lines of therapy, including ciltacabtagene autoleucel, an approved autologous CAR-T cell therapy. Before entering the CaMMouflage phase 1 clinical trial, the patient never achieved a complete response following any of his post-front-line therapies. After receiving a single dose of CB-011 at the RDE, the patient achieved a complete response at day 28 that was maintained at month 3 and remained ongoing as of the May 26, 2026, efficacy data cutoff date. The safety profile for this patient was manageable, with grade 1 CRS and grade 3/4 aspartate aminotransferase(“AST”)/alanine aminotransferase (“ALT”) elevation. The patient had a history of intermittent ALT elevation prior to enrolling in the CaMMouflage clinical trial. Translational data showed robust CB-011 CAR-T cell expansion and a rapid decrease in serum free light chains that correlated with the patient achieving a complete response.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expects to report initial dose expansion data from the CaMMouflage phase 1 clinical trial in BCMA-naïve and BCMA-exposed patients in the second half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disclosure in this Current Report on Form 8-K contains “forward-looking statements” within the meaning of the Private Securities Litigation Reform Act of 1995 relating to the business and operations of the Company. These forward-looking statements are subject to a number of known and unknown risks, assumptions, uncertainties, and other factors that may cause the actual results, levels of activity, performance, or achievements of the Company to be materially different from those expressed or implied by any forward-looking statements. In some cases, you can identify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ind w:right="100"/>
        <w:spacing w:after="0" w:line="253" w:lineRule="auto"/>
        <w:rPr>
          <w:sz w:val="20"/>
          <w:szCs w:val="20"/>
          <w:color w:val="auto"/>
        </w:rPr>
      </w:pPr>
      <w:r>
        <w:rPr>
          <w:rFonts w:ascii="Times New Roman" w:cs="Times New Roman" w:eastAsia="Times New Roman" w:hAnsi="Times New Roman"/>
          <w:sz w:val="18"/>
          <w:szCs w:val="18"/>
          <w:color w:val="auto"/>
        </w:rPr>
        <w:t>statements by terms such as “may,” “will,” “should,” “expect,” “likely,” “plan,” “anticipate,” “could,” “intend,” “target,” “project,” “contemplate,” “believe,” “estimate,” “predict,” “potential,” “contribute to,” or “continue” or the negative of these terms or other similar expressions, although not all forward-looking statements contain these words. All statements, other than statements of historical facts contained in this report, are forward-looking statements, including but not limited to any statements regarding the initiation, timing, progress, strategy, plans, objectives, expectations (including as to the results) with respect to the Company’s CAR-T cell therapy product candidate clinical trials, including the expected design, protocol, and timing of initiation of the pivotal phase 3 clinical trial for vispa-cel in 2L LBCL CD19-naïve patients; its expectations regarding reporting dose expansion data in 2026 from its ongoing CaMMouflage phase 1 clinical trial for CB-011 in patients with r/r MM; the likelihood of its clinical trials demonstrating safety and efficacy of its CAR-T cell therapy product candidates; the beneficial characteristics, safety, efficacy, therapeutic effects, and potential advantages of its CAR-T cell therapy product candidates; and the expected timing or likelihood of regulatory filings and approval for its CAR-T cell therapy product candidates.</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believes that these forward-looking statements are reasonable as and when made. However, such forward-looking statements are subject to risks and uncertainties, and actual results may differ materially from any future results expressed or implied by the forward-looking statements. Risks and uncertainties include, without limitation, risks inherent in the development of allogeneic CAR-T cell therapy product candidates; uncertainties related to the initiation, cost, timing, progress, and results of its current and future clinical trials; the risk that initial, preliminary, or interim clinical trial data will not ultimately be predictive of the safety and efficacy of its CAR-T cell therapy product candidates or that clinical outcomes may differ as patient enrollment continues and as more patient data becomes available; the risk that different conclusions or considerations are reached once additional data have been received and fully evaluated; the ability to obtain key regulatory input and approvals; and risks related to the Company’s limited operating history, history of net operating losses, financial position, and its ability to raise additional capital as needed to fund its operations and CAR-T cell therapy product candidate development, including the ability to fully fund its pivotal phase 3 clinical trial for vispa-cel; as well as other risk factors described from time to time in the Company’s filings with the Securities and Exchange Commission (“SEC”), including its Annual Report on Form 10-K for the year ended December 31, 2025, and subsequent SEC filings. In light of the significant uncertainties in these forward-looking statements, you should not rely upon forward-looking statements as predictions of future events. Except as required by law, the Company undertakes no obligation to update publicly any forward-looking statements for any reason.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8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932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Caribou Biosciences, Inc. on June 11, 2026</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10"/>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Caribou Biosciences, Inc. on June 11, 2026</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50"/>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6"/>
        </w:trPr>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Caribou Biosciences, Inc.</w:t>
      </w:r>
    </w:p>
    <w:p>
      <w:pPr>
        <w:spacing w:after="0" w:line="293" w:lineRule="exact"/>
        <w:rPr>
          <w:sz w:val="20"/>
          <w:szCs w:val="20"/>
          <w:color w:val="auto"/>
        </w:rPr>
      </w:pPr>
    </w:p>
    <w:p>
      <w:pPr>
        <w:ind w:left="20"/>
        <w:spacing w:after="0"/>
        <w:tabs>
          <w:tab w:leader="none" w:pos="620" w:val="left"/>
          <w:tab w:leader="none" w:pos="5600" w:val="left"/>
          <w:tab w:leader="none" w:pos="6100" w:val="left"/>
        </w:tabs>
        <w:rPr>
          <w:sz w:val="20"/>
          <w:szCs w:val="20"/>
          <w:color w:val="auto"/>
        </w:rPr>
      </w:pPr>
      <w:r>
        <w:rPr>
          <w:rFonts w:ascii="Times New Roman" w:cs="Times New Roman" w:eastAsia="Times New Roman" w:hAnsi="Times New Roman"/>
          <w:sz w:val="18"/>
          <w:szCs w:val="18"/>
          <w:color w:val="auto"/>
        </w:rPr>
        <w:t>Date:</w:t>
        <w:tab/>
        <w:t>June 11, 2026</w:t>
      </w:r>
      <w:r>
        <w:rPr>
          <w:sz w:val="20"/>
          <w:szCs w:val="20"/>
          <w:color w:val="auto"/>
        </w:rPr>
        <w:tab/>
      </w:r>
      <w:r>
        <w:rPr>
          <w:rFonts w:ascii="Times New Roman" w:cs="Times New Roman" w:eastAsia="Times New Roman" w:hAnsi="Times New Roman"/>
          <w:sz w:val="18"/>
          <w:szCs w:val="18"/>
          <w:color w:val="auto"/>
        </w:rPr>
        <w:t>By:</w:t>
        <w:tab/>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60325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Rachel E. Haurwitz</w:t>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20"/>
          </w:cols>
          <w:pgMar w:left="320" w:top="1251"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408555" cy="728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line="287" w:lineRule="auto"/>
        <w:rPr>
          <w:sz w:val="20"/>
          <w:szCs w:val="20"/>
          <w:color w:val="auto"/>
        </w:rPr>
      </w:pPr>
      <w:r>
        <w:rPr>
          <w:rFonts w:ascii="Arial" w:cs="Arial" w:eastAsia="Arial" w:hAnsi="Arial"/>
          <w:sz w:val="25"/>
          <w:szCs w:val="25"/>
          <w:b w:val="1"/>
          <w:bCs w:val="1"/>
          <w:color w:val="auto"/>
        </w:rPr>
        <w:t>Caribou Biosciences Reports Long-Term Vispa-cel Data in Second-line Large B Cell Lymphoma at EHA 2026</w:t>
      </w:r>
    </w:p>
    <w:p>
      <w:pPr>
        <w:spacing w:after="0" w:line="134" w:lineRule="exact"/>
        <w:rPr>
          <w:sz w:val="20"/>
          <w:szCs w:val="20"/>
          <w:color w:val="auto"/>
        </w:rPr>
      </w:pPr>
    </w:p>
    <w:p>
      <w:pPr>
        <w:ind w:left="480" w:hanging="211"/>
        <w:spacing w:after="0"/>
        <w:tabs>
          <w:tab w:leader="none" w:pos="480" w:val="left"/>
        </w:tabs>
        <w:numPr>
          <w:ilvl w:val="0"/>
          <w:numId w:val="4"/>
        </w:numPr>
        <w:rPr>
          <w:rFonts w:ascii="Arial" w:cs="Arial" w:eastAsia="Arial" w:hAnsi="Arial"/>
          <w:sz w:val="22"/>
          <w:szCs w:val="22"/>
          <w:i w:val="1"/>
          <w:iCs w:val="1"/>
          <w:color w:val="auto"/>
        </w:rPr>
      </w:pPr>
      <w:r>
        <w:rPr>
          <w:rFonts w:ascii="Arial" w:cs="Arial" w:eastAsia="Arial" w:hAnsi="Arial"/>
          <w:sz w:val="22"/>
          <w:szCs w:val="22"/>
          <w:i w:val="1"/>
          <w:iCs w:val="1"/>
          <w:color w:val="auto"/>
        </w:rPr>
        <w:t>Single dose of vispa-cel produced durable responses in 2L LBCL patients: 82% ORR, 67% CR rate, and 17.1-</w:t>
      </w:r>
    </w:p>
    <w:p>
      <w:pPr>
        <w:spacing w:after="0" w:line="10" w:lineRule="exact"/>
        <w:rPr>
          <w:rFonts w:ascii="Arial" w:cs="Arial" w:eastAsia="Arial" w:hAnsi="Arial"/>
          <w:sz w:val="22"/>
          <w:szCs w:val="22"/>
          <w:i w:val="1"/>
          <w:iCs w:val="1"/>
          <w:color w:val="auto"/>
        </w:rPr>
      </w:pPr>
    </w:p>
    <w:p>
      <w:pPr>
        <w:ind w:left="490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month mPFS --</w:t>
      </w:r>
    </w:p>
    <w:p>
      <w:pPr>
        <w:spacing w:after="0" w:line="226" w:lineRule="exact"/>
        <w:rPr>
          <w:rFonts w:ascii="Arial" w:cs="Arial" w:eastAsia="Arial" w:hAnsi="Arial"/>
          <w:sz w:val="22"/>
          <w:szCs w:val="22"/>
          <w:i w:val="1"/>
          <w:iCs w:val="1"/>
          <w:color w:val="auto"/>
        </w:rPr>
      </w:pPr>
    </w:p>
    <w:p>
      <w:pPr>
        <w:ind w:left="540" w:hanging="199"/>
        <w:spacing w:after="0"/>
        <w:tabs>
          <w:tab w:leader="none" w:pos="540" w:val="left"/>
        </w:tabs>
        <w:numPr>
          <w:ilvl w:val="1"/>
          <w:numId w:val="4"/>
        </w:numPr>
        <w:rPr>
          <w:rFonts w:ascii="Arial" w:cs="Arial" w:eastAsia="Arial" w:hAnsi="Arial"/>
          <w:sz w:val="22"/>
          <w:szCs w:val="22"/>
          <w:i w:val="1"/>
          <w:iCs w:val="1"/>
          <w:color w:val="auto"/>
        </w:rPr>
      </w:pPr>
      <w:r>
        <w:rPr>
          <w:rFonts w:ascii="Arial" w:cs="Arial" w:eastAsia="Arial" w:hAnsi="Arial"/>
          <w:sz w:val="22"/>
          <w:szCs w:val="22"/>
          <w:i w:val="1"/>
          <w:iCs w:val="1"/>
          <w:color w:val="auto"/>
        </w:rPr>
        <w:t>Generally well-tolerated safety profile continues to support outpatient administration and further expansion to</w:t>
      </w:r>
    </w:p>
    <w:p>
      <w:pPr>
        <w:spacing w:after="0" w:line="10" w:lineRule="exact"/>
        <w:rPr>
          <w:rFonts w:ascii="Arial" w:cs="Arial" w:eastAsia="Arial" w:hAnsi="Arial"/>
          <w:sz w:val="22"/>
          <w:szCs w:val="22"/>
          <w:i w:val="1"/>
          <w:iCs w:val="1"/>
          <w:color w:val="auto"/>
        </w:rPr>
      </w:pPr>
    </w:p>
    <w:p>
      <w:pPr>
        <w:ind w:left="462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community centers --</w:t>
      </w:r>
    </w:p>
    <w:p>
      <w:pPr>
        <w:spacing w:after="0" w:line="213" w:lineRule="exact"/>
        <w:rPr>
          <w:rFonts w:ascii="Arial" w:cs="Arial" w:eastAsia="Arial" w:hAnsi="Arial"/>
          <w:sz w:val="22"/>
          <w:szCs w:val="22"/>
          <w:i w:val="1"/>
          <w:iCs w:val="1"/>
          <w:color w:val="auto"/>
        </w:rPr>
      </w:pPr>
    </w:p>
    <w:p>
      <w:pPr>
        <w:ind w:left="2380" w:right="460" w:hanging="1919"/>
        <w:spacing w:after="0" w:line="272" w:lineRule="auto"/>
        <w:tabs>
          <w:tab w:leader="none" w:pos="668" w:val="left"/>
        </w:tabs>
        <w:numPr>
          <w:ilvl w:val="2"/>
          <w:numId w:val="4"/>
        </w:numPr>
        <w:rPr>
          <w:rFonts w:ascii="Arial" w:cs="Arial" w:eastAsia="Arial" w:hAnsi="Arial"/>
          <w:sz w:val="22"/>
          <w:szCs w:val="22"/>
          <w:i w:val="1"/>
          <w:iCs w:val="1"/>
          <w:color w:val="auto"/>
        </w:rPr>
      </w:pPr>
      <w:r>
        <w:rPr>
          <w:rFonts w:ascii="Arial" w:cs="Arial" w:eastAsia="Arial" w:hAnsi="Arial"/>
          <w:sz w:val="22"/>
          <w:szCs w:val="22"/>
          <w:i w:val="1"/>
          <w:iCs w:val="1"/>
          <w:color w:val="auto"/>
        </w:rPr>
        <w:t>ANTLER-3 pivotal phase 3 trial designed to address the unmet need in 2L LBCL patients at academic and community centers who lack treatment options with curative intent --</w:t>
      </w:r>
    </w:p>
    <w:p>
      <w:pPr>
        <w:spacing w:after="0" w:line="169" w:lineRule="exact"/>
        <w:rPr>
          <w:rFonts w:ascii="Arial" w:cs="Arial" w:eastAsia="Arial" w:hAnsi="Arial"/>
          <w:sz w:val="22"/>
          <w:szCs w:val="22"/>
          <w:i w:val="1"/>
          <w:iCs w:val="1"/>
          <w:color w:val="auto"/>
        </w:rPr>
      </w:pPr>
    </w:p>
    <w:p>
      <w:pPr>
        <w:ind w:left="1960" w:hanging="200"/>
        <w:spacing w:after="0"/>
        <w:tabs>
          <w:tab w:leader="none" w:pos="1960" w:val="left"/>
        </w:tabs>
        <w:numPr>
          <w:ilvl w:val="3"/>
          <w:numId w:val="4"/>
        </w:numPr>
        <w:rPr>
          <w:rFonts w:ascii="Arial" w:cs="Arial" w:eastAsia="Arial" w:hAnsi="Arial"/>
          <w:sz w:val="22"/>
          <w:szCs w:val="22"/>
          <w:i w:val="1"/>
          <w:iCs w:val="1"/>
          <w:color w:val="auto"/>
        </w:rPr>
      </w:pPr>
      <w:r>
        <w:rPr>
          <w:rFonts w:ascii="Arial" w:cs="Arial" w:eastAsia="Arial" w:hAnsi="Arial"/>
          <w:sz w:val="22"/>
          <w:szCs w:val="22"/>
          <w:i w:val="1"/>
          <w:iCs w:val="1"/>
          <w:color w:val="auto"/>
        </w:rPr>
        <w:t>EHA oral presentation scheduled for Friday, June 12, 2026, at 5:15pm CEST --</w:t>
      </w:r>
    </w:p>
    <w:p>
      <w:pPr>
        <w:spacing w:after="0" w:line="200" w:lineRule="exact"/>
        <w:rPr>
          <w:sz w:val="20"/>
          <w:szCs w:val="20"/>
          <w:color w:val="auto"/>
        </w:rPr>
      </w:pPr>
    </w:p>
    <w:p>
      <w:pPr>
        <w:spacing w:after="0" w:line="290"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BERKELEY, Calif., June 11, 2026 (GLOBE NEWSWIRE) -- Caribou Biosciences, Inc. (Nasdaq: CRBU), a leading clinical-stage CRISPR genome-editing biopharmaceutical company, today announced that vispa-cel, its off-the-shelf CD19-targeted CAR-T cell therapy, produced durable long-term responses in patients enrolled in the ANTLER phase 1 clinical trial for relapsed or refractory B cell non-Hodgkin lymphoma (r/r B-NHL), with the potential to bring the benefit of cell therapy to patients who lack curative options. The results are being presented during an oral presentation at the 2026 European Hematology Association (EHA) Annual Meeting on June 12, 2026, at 5:15pm CEST, in Stockholm, Sweden.</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“Vispa-cel is uniquely positioned as the only single-dose, off-the-shelf therapy to demonstrate deep and durable responses on par with autologous CAR-T cell therapies in second-line LBCL,” said Rachel Haurwitz, PhD, Caribou’s president and CEO. “The long-term efficacy and safety outcomes we continue to observe reinforce the potential of vispa-cel, as a readily available CAR-T cell therapy, to overcome many of the logistical and access barriers that prevent the majority of second-line patients from receiving therapies with curative intent.”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ANTLER phase 1 efficacy and safety data</w:t>
      </w:r>
    </w:p>
    <w:p>
      <w:pPr>
        <w:spacing w:after="0" w:line="12" w:lineRule="exact"/>
        <w:rPr>
          <w:sz w:val="20"/>
          <w:szCs w:val="20"/>
          <w:color w:val="auto"/>
        </w:rPr>
      </w:pPr>
    </w:p>
    <w:p>
      <w:pPr>
        <w:ind w:right="140"/>
        <w:spacing w:after="0" w:line="253" w:lineRule="auto"/>
        <w:rPr>
          <w:sz w:val="20"/>
          <w:szCs w:val="20"/>
          <w:color w:val="auto"/>
        </w:rPr>
      </w:pPr>
      <w:r>
        <w:rPr>
          <w:rFonts w:ascii="Arial" w:cs="Arial" w:eastAsia="Arial" w:hAnsi="Arial"/>
          <w:sz w:val="21"/>
          <w:szCs w:val="21"/>
          <w:color w:val="auto"/>
        </w:rPr>
        <w:t>As of the March 6, 2026, data cutoff date, 27 second-line (2L) large B cell lymphoma (LBCL) patients had received a single dose of 80 million optimized vispa-cel CAR-T cells, defined as cells from a donor younger than 30 years old and with at least 2 matched HLA alleles between patient and donor. This pivotal optimized vispa-cel subgroup best represents the treatment regimen and patient population for the planned ANTLER-3 phase 3 clinical trial.</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Efficacy data from the pivotal optimized vispa-cel subgroup included:</w:t>
      </w:r>
    </w:p>
    <w:p>
      <w:pPr>
        <w:spacing w:after="0" w:line="10" w:lineRule="exact"/>
        <w:rPr>
          <w:sz w:val="20"/>
          <w:szCs w:val="20"/>
          <w:color w:val="auto"/>
        </w:rPr>
      </w:pP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82% overall response rate (ORR)</w:t>
      </w:r>
    </w:p>
    <w:p>
      <w:pPr>
        <w:spacing w:after="0" w:line="3"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67% complete response (CR) rate</w:t>
      </w: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17.1 months median progression-free survival (PFS)</w:t>
      </w:r>
    </w:p>
    <w:p>
      <w:pPr>
        <w:spacing w:after="0" w:line="213" w:lineRule="exact"/>
        <w:rPr>
          <w:sz w:val="20"/>
          <w:szCs w:val="20"/>
          <w:color w:val="auto"/>
        </w:rPr>
      </w:pPr>
    </w:p>
    <w:p>
      <w:pPr>
        <w:ind w:right="880"/>
        <w:spacing w:after="0" w:line="272" w:lineRule="auto"/>
        <w:rPr>
          <w:sz w:val="20"/>
          <w:szCs w:val="20"/>
          <w:color w:val="auto"/>
        </w:rPr>
      </w:pPr>
      <w:r>
        <w:rPr>
          <w:rFonts w:ascii="Arial" w:cs="Arial" w:eastAsia="Arial" w:hAnsi="Arial"/>
          <w:sz w:val="22"/>
          <w:szCs w:val="22"/>
          <w:color w:val="auto"/>
        </w:rPr>
        <w:t>Vispa-cel continues to demonstrate a generally well-tolerated safety profile. In the pivotal optimized vispa-cel subgroup (N=27), there were no reports of graft-versus-host disease (GvHD) or grade 3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408555"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44" w:lineRule="auto"/>
        <w:rPr>
          <w:sz w:val="20"/>
          <w:szCs w:val="20"/>
          <w:color w:val="auto"/>
        </w:rPr>
      </w:pPr>
      <w:r>
        <w:rPr>
          <w:rFonts w:ascii="Arial" w:cs="Arial" w:eastAsia="Arial" w:hAnsi="Arial"/>
          <w:sz w:val="22"/>
          <w:szCs w:val="22"/>
          <w:color w:val="auto"/>
        </w:rPr>
        <w:t>higher (≥Gr 3) immune effector cell-associated neurotoxicity syndrome (ICANS), and there was one (4%) ≥Gr 3 cytokine release syndrome (CRS). Other adverse events of special interest included six (22%) ≥Gr 3 infections, five (21%; 5/24) ≥Gr 3 prolonged cytopenias, and one (4%) ≥Gr 3 immune effector cell-associated HLH-like syndrome (IEC-HS). In the pivotal optimized vispa-cel subgroup, one vispa-cel-related death occurred due to IEC-HS and one possibly-related death occurred due to progressive multifocal leukoencephalopathy.</w:t>
      </w:r>
    </w:p>
    <w:p>
      <w:pPr>
        <w:spacing w:after="0" w:line="199"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“These data demonstrate that vispa-cel’s durable responses may have similar curative potential as we see with approved autologous CAR-T cell therapies. As an allogeneic CAR-T cell therapy, vispa-cel could provide a much-needed treatment option for those patients who cannot receive autologous CAR-T cell therapy as second or later line of therapy,” said presenting author, Stephen J. Schuster, MD, Louis-Dreyfus professor of CLL and lymphoma and director of lymphoma program and lymphoma translational research at the Abramson Cancer Center, University of Pennsylvania. “Many patients don’t receive auto CAR-T cell therapy due to rapid disease progression, low blood T cell counts, or lack of access to these specialized therapies. Vispa-cel is well positioned to address these challenges as a readily available, off-the-shelf therapy that can be administered in the community setting.”</w:t>
      </w:r>
    </w:p>
    <w:p>
      <w:pPr>
        <w:spacing w:after="0" w:line="191"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As previously disclosed, Caribou has reached alignment with the FDA on the design of ANTLER-3, a randomized, controlled pivotal phase 3 clinical trial expected to enroll approximately 250 CD19-naïve 2L LBCL patients who are not eligible for transplant and not candidates or not eligible for autologous CAR-T cell therapy based on access challenges or medical criteria, including the need for urgent therapy. Patients in the investigational arm will receive a single dose of 80 million optimized vispa-cel CAR-T cells following lymphodepletion. Patients in the comparator arm will be treated with an investigator’s choice of standard-of-care regimen: polatuzumab vedotin (Pola), bendamustine (B), and rituximab (R) (Pola-BR); R, gemcitabine, and oxaliplatin (R-GemOx); Pola-R-GemOx (Pola-RGO); or tafasitamab and lenalidomide. Crossover to the vispa-cel arm is permitted after progressive disease. The primary endpoint is progression-free survival (PFS). The study is expected to be conducted at approximately 75 clinical trial sites globally, including academic and sophisticated community centers in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EHA oral presentation details</w:t>
      </w:r>
    </w:p>
    <w:p>
      <w:pPr>
        <w:spacing w:after="0" w:line="12" w:lineRule="exact"/>
        <w:rPr>
          <w:sz w:val="20"/>
          <w:szCs w:val="20"/>
          <w:color w:val="auto"/>
        </w:rPr>
      </w:pPr>
    </w:p>
    <w:p>
      <w:pPr>
        <w:ind w:left="660" w:right="1080"/>
        <w:spacing w:after="0" w:line="236" w:lineRule="auto"/>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Vispa-cel, an allogeneic anti-CD19 CAR-T cell therapy with a PD-1 knockout, in patients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relapsed/refractory B cell non-Hodgkin lymphoma (ANTLER phase 1 clinical trial)</w:t>
      </w:r>
    </w:p>
    <w:p>
      <w:pPr>
        <w:spacing w:after="0" w:line="2" w:lineRule="exact"/>
        <w:rPr>
          <w:sz w:val="20"/>
          <w:szCs w:val="20"/>
          <w:color w:val="auto"/>
        </w:rPr>
      </w:pPr>
    </w:p>
    <w:p>
      <w:pPr>
        <w:ind w:left="660" w:right="20"/>
        <w:spacing w:after="0" w:line="236" w:lineRule="auto"/>
        <w:rPr>
          <w:sz w:val="20"/>
          <w:szCs w:val="20"/>
          <w:color w:val="auto"/>
        </w:rPr>
      </w:pPr>
      <w:r>
        <w:rPr>
          <w:rFonts w:ascii="Arial" w:cs="Arial" w:eastAsia="Arial" w:hAnsi="Arial"/>
          <w:sz w:val="22"/>
          <w:szCs w:val="22"/>
          <w:b w:val="1"/>
          <w:bCs w:val="1"/>
          <w:color w:val="auto"/>
        </w:rPr>
        <w:t xml:space="preserve">Presenter: </w:t>
      </w:r>
      <w:r>
        <w:rPr>
          <w:rFonts w:ascii="Arial" w:cs="Arial" w:eastAsia="Arial" w:hAnsi="Arial"/>
          <w:sz w:val="22"/>
          <w:szCs w:val="22"/>
          <w:color w:val="auto"/>
        </w:rPr>
        <w:t>Stephen J. Schuster, MD, Robert and Margarita Louis-Dreyfus professor of chronic lymphocytic</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leukemia and lymphoma; department of medicine, hematology-oncology division; director, lymphoma program and lymphoma translational research; Abramson Cancer Center, University of Pennsylvania </w:t>
      </w:r>
      <w:r>
        <w:rPr>
          <w:rFonts w:ascii="Arial" w:cs="Arial" w:eastAsia="Arial" w:hAnsi="Arial"/>
          <w:sz w:val="22"/>
          <w:szCs w:val="22"/>
          <w:b w:val="1"/>
          <w:bCs w:val="1"/>
          <w:color w:val="auto"/>
        </w:rPr>
        <w:t xml:space="preserve">Date and time: </w:t>
      </w:r>
      <w:r>
        <w:rPr>
          <w:rFonts w:ascii="Arial" w:cs="Arial" w:eastAsia="Arial" w:hAnsi="Arial"/>
          <w:sz w:val="22"/>
          <w:szCs w:val="22"/>
          <w:color w:val="auto"/>
        </w:rPr>
        <w:t>Friday, June 12, 2026, at 5:15 - 6:30pm CEST</w:t>
      </w:r>
    </w:p>
    <w:p>
      <w:pPr>
        <w:ind w:left="660"/>
        <w:spacing w:after="0" w:line="234" w:lineRule="auto"/>
        <w:rPr>
          <w:sz w:val="20"/>
          <w:szCs w:val="20"/>
          <w:color w:val="auto"/>
        </w:rPr>
      </w:pPr>
      <w:r>
        <w:rPr>
          <w:rFonts w:ascii="Arial" w:cs="Arial" w:eastAsia="Arial" w:hAnsi="Arial"/>
          <w:sz w:val="22"/>
          <w:szCs w:val="22"/>
          <w:b w:val="1"/>
          <w:bCs w:val="1"/>
          <w:color w:val="auto"/>
        </w:rPr>
        <w:t xml:space="preserve">Session: </w:t>
      </w:r>
      <w:r>
        <w:rPr>
          <w:rFonts w:ascii="Arial" w:cs="Arial" w:eastAsia="Arial" w:hAnsi="Arial"/>
          <w:sz w:val="22"/>
          <w:szCs w:val="22"/>
          <w:color w:val="auto"/>
        </w:rPr>
        <w:t>Prospective lymphoma trials</w:t>
      </w:r>
    </w:p>
    <w:p>
      <w:pPr>
        <w:ind w:left="660"/>
        <w:spacing w:after="0"/>
        <w:rPr>
          <w:sz w:val="20"/>
          <w:szCs w:val="20"/>
          <w:color w:val="auto"/>
        </w:rPr>
      </w:pPr>
      <w:r>
        <w:rPr>
          <w:rFonts w:ascii="Arial" w:cs="Arial" w:eastAsia="Arial" w:hAnsi="Arial"/>
          <w:sz w:val="22"/>
          <w:szCs w:val="22"/>
          <w:b w:val="1"/>
          <w:bCs w:val="1"/>
          <w:color w:val="auto"/>
        </w:rPr>
        <w:t xml:space="preserve">Location: </w:t>
      </w:r>
      <w:r>
        <w:rPr>
          <w:rFonts w:ascii="Arial" w:cs="Arial" w:eastAsia="Arial" w:hAnsi="Arial"/>
          <w:sz w:val="22"/>
          <w:szCs w:val="22"/>
          <w:color w:val="auto"/>
        </w:rPr>
        <w:t>Nobel Hall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Abstract number: </w:t>
      </w:r>
      <w:r>
        <w:rPr>
          <w:rFonts w:ascii="Arial" w:cs="Arial" w:eastAsia="Arial" w:hAnsi="Arial"/>
          <w:sz w:val="22"/>
          <w:szCs w:val="22"/>
          <w:color w:val="auto"/>
        </w:rPr>
        <w:t>S236</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About vispacabtagene regedleucel</w:t>
      </w:r>
    </w:p>
    <w:p>
      <w:pPr>
        <w:spacing w:after="0" w:line="12"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Vispacabtagene regedleucel (vispa-cel; formerly known as CB-010) is an allogeneic anti-CD19 CAR-T cell therapy evaluated in patients with relapsed or refractory B cell non-Hodgkin lymphoma (r/r B-</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20" w:top="1440" w:right="4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40855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NHL). To Caribou’s knowledge, vispa-cel is the first allogeneic CAR-T cell therapy in the clinic with a PD-1 knockout, a genome-editing strategy designed to enhance CAR-T cell activity by limiting premature CAR-T cell exhaustion. The FDA granted vispa-cel Regenerative Medicine Advanced Therapy (RMAT), Fast Track, and Orphan Drug designations for B-NHL.</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About the ANTLER phase 1 clinical trial</w:t>
      </w:r>
    </w:p>
    <w:p>
      <w:pPr>
        <w:spacing w:after="0" w:line="12" w:lineRule="exact"/>
        <w:rPr>
          <w:sz w:val="20"/>
          <w:szCs w:val="20"/>
          <w:color w:val="auto"/>
        </w:rPr>
      </w:pPr>
    </w:p>
    <w:p>
      <w:pPr>
        <w:ind w:right="260"/>
        <w:spacing w:after="0" w:line="230" w:lineRule="auto"/>
        <w:rPr>
          <w:sz w:val="20"/>
          <w:szCs w:val="20"/>
          <w:color w:val="auto"/>
        </w:rPr>
      </w:pPr>
      <w:r>
        <w:rPr>
          <w:rFonts w:ascii="Arial" w:cs="Arial" w:eastAsia="Arial" w:hAnsi="Arial"/>
          <w:sz w:val="22"/>
          <w:szCs w:val="22"/>
          <w:color w:val="auto"/>
        </w:rPr>
        <w:t>The ANTLER phase 1 clinical trial evaluated vispa-cel in adult patients with r/r B-NHL in a multicenter, open-label trial. As of a March 6, 2026, data cutoff date, 85 patients were treated in the trial. Using a 3+3 enrollment strategy, safety and efficacy were assessed in 16 patients in dose escalation who received a single dose of 40, 80, or 120 million CAR-T cells preceded by a lymphodepletion (LD) regimen of cyclophosphamide at 60 mg/kg/day for 2 days followed by fludarabine at 25 mg/m</w:t>
      </w:r>
      <w:r>
        <w:rPr>
          <w:rFonts w:ascii="Arial" w:cs="Arial" w:eastAsia="Arial" w:hAnsi="Arial"/>
          <w:sz w:val="28"/>
          <w:szCs w:val="28"/>
          <w:color w:val="auto"/>
          <w:vertAlign w:val="superscript"/>
        </w:rPr>
        <w:t>2</w:t>
      </w:r>
      <w:r>
        <w:rPr>
          <w:rFonts w:ascii="Arial" w:cs="Arial" w:eastAsia="Arial" w:hAnsi="Arial"/>
          <w:sz w:val="22"/>
          <w:szCs w:val="22"/>
          <w:color w:val="auto"/>
        </w:rPr>
        <w:t>/day for 5 days. Eighty million CAR-T cells was selected as the recommended phase 2 dose (RP2D). Sixty-three second-line large B cell lymphoma (2L LBCL) patients received a single dose of vispa-cel during dose expansion. Six patients were enrolled in a cohort of third-line or later LBCL patients with prior exposure to CD19-targeted therapy. Additional information on the ANTLER trial (NCT04637763) can be found at www.clinicaltrials.gov.</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About Caribou Biosciences, Inc.</w:t>
      </w:r>
    </w:p>
    <w:p>
      <w:pPr>
        <w:spacing w:after="0" w:line="2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Caribou is a clinical-stage CRISPR genome-editing biopharmaceutical company dedicated to developing transformative therapies for patients with devastating diseases. Caribou’s chRDNA genome-editing technology enables superior precision to develop cell therapies that are armored to potentially improve activity against diseases. Caribou is focused on vispacabtagene regedleucel (vispa-cel) and CB-011 as off-the-shelf CAR-T cell therapies that have the potential to provide broad access and rapid treatment for patients with hematologic malignancies. Follow the company @CaribouBio and visit www.cariboubio.com.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Forward-looking statements and important information</w:t>
      </w:r>
    </w:p>
    <w:p>
      <w:pPr>
        <w:spacing w:after="0" w:line="2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These forward-looking statements include, but are not limited to, any statements regarding the initiation, timing, progress, strategy, plans, objectives, expectations (including as to the results) with respect to the Company’s CAR-T cell therapy product candidate clinical trials, including the expected design, protocol, and timing of initiation of the pivotal phase 3 clinical trial for vispa-cel in 2L LBCL CD19-naïve patients; its ability to successfully develop its CAR-T cell therapy product candidates and to obtain and maintain regulatory approval for these product candidates; the likelihood of its clinical trials demonstrating safety and efficacy of its CAR-T cell therapy product candidates; the beneficial characteristics, safety, efficacy, therapeutic effects, and potential advantages of its CAR-T cell therapy product candidates; and the expected timing or likelihood of regulatory filings and approval for its CAR-T cell therapy product candidates. Management believes that these forward-looking statements are reasonable as and when made. However, such forward-looking statements are subject to risks and uncertainties, and actual results may differ materially from any future results expressed or implied by the forward-looking statements. Risks and uncertainties include, without limitation, risks inherent in the development of allogeneic CAR-T cell therapy products; uncertainties related to the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408555"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initiation, cost, timing, progress, and results of its current and future clinical trials; the risk that initial, preliminary, or interim clinical trial data will not ultimately be predictive of the safety and efficacy of its CAR-T cell therapy product candidates or that clinical outcomes may differ as patient enrollment continues and as more patient data becomes available; the risk that different conclusions or considerations are reached once additional data have been received and fully evaluated; the ability to obtain key regulatory input and approvals; and risks related to its limited operating history, history of net operating losses, financial position, and its ability to raise additional capital as needed to fund its operations and CAR-T cell therapy product candidate development, including the ability to fully fund its pivotal phase 3 clinical trial for vispa-cel; as well as other risk factors described from time to time in the Company’s filings with the Securities and Exchange Commission (SEC), including its Annual Report on Form 10-K for the year ended December 31, 2025, and subsequent SEC filings. In light of the significant uncertainties in these forward-looking statements, you should not rely upon forward-looking statements as predictions of future events. Except as required by law, the Company undertakes no obligation to update publicly any forward-looking statements for any reason.</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Caution should be exercised when interpreting results from separate trials involving commercially approved autologous CAR-T cell therapies. The results of autologous CAR-T cell therapies referenced in this press release have been derived from publicly available reports of clinical trials not conducted by the Company, and the Company has not performed any head-to-head trials comparing any of these autologous CAR-T cell therapies with vispa-cel. As such, the results of these autologous CAR-T cell therapy clinical trials may not be comparable to clinical results for vispa-cel. The autologous CAR-T cell therapy clinical trials vary in material ways from the ANTLER clinical trial for vispa-cel including with respect to trial design and duration, patient population, patient characteristics, clinical trial phase, treatment protocols, investigators, and other important factors. As a result, cross-trial comparisons may have no interpretive value on the Company’s existing or future clinical results. For further information and to understand these material differences, you should read the reports for the autologous CAR-T cell therapy clinical trials and the sources included in the Company’s corporate presentations on its website.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Note: Dr. Schuster receives compensation as a member of the Company’s scientific advisory board.</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Caribou Biosciences, Inc. contact: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Peggy Vorwald, PhD</w:t>
      </w:r>
    </w:p>
    <w:p>
      <w:pPr>
        <w:spacing w:after="0"/>
        <w:rPr>
          <w:sz w:val="20"/>
          <w:szCs w:val="20"/>
          <w:color w:val="auto"/>
        </w:rPr>
      </w:pPr>
      <w:r>
        <w:rPr>
          <w:rFonts w:ascii="Arial" w:cs="Arial" w:eastAsia="Arial" w:hAnsi="Arial"/>
          <w:sz w:val="22"/>
          <w:szCs w:val="22"/>
          <w:color w:val="auto"/>
        </w:rPr>
        <w:t>investor.relations@cariboubio.com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media@cariboubio.com</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408555"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line="287" w:lineRule="auto"/>
        <w:rPr>
          <w:sz w:val="20"/>
          <w:szCs w:val="20"/>
          <w:color w:val="auto"/>
        </w:rPr>
      </w:pPr>
      <w:r>
        <w:rPr>
          <w:rFonts w:ascii="Arial" w:cs="Arial" w:eastAsia="Arial" w:hAnsi="Arial"/>
          <w:sz w:val="25"/>
          <w:szCs w:val="25"/>
          <w:b w:val="1"/>
          <w:bCs w:val="1"/>
          <w:color w:val="auto"/>
        </w:rPr>
        <w:t>Caribou Biosciences Reports Dose Escalation Durability Data for CB-011 at the 2026 European Hematology Association (EHA) Annual Meeting</w:t>
      </w:r>
    </w:p>
    <w:p>
      <w:pPr>
        <w:spacing w:after="0" w:line="134" w:lineRule="exact"/>
        <w:rPr>
          <w:sz w:val="20"/>
          <w:szCs w:val="20"/>
          <w:color w:val="auto"/>
        </w:rPr>
      </w:pPr>
    </w:p>
    <w:p>
      <w:pPr>
        <w:ind w:left="1840" w:right="60" w:hanging="1767"/>
        <w:spacing w:after="0" w:line="259" w:lineRule="auto"/>
        <w:tabs>
          <w:tab w:leader="none" w:pos="272"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Single dose of CB-011 produced deep, durable responses in heavily pretreated, BCMA-naïve patients with r/r MM: 83% CR rate, 91% MRD negativity, and 50% of patients in ≥CR at 15 months --</w:t>
      </w:r>
    </w:p>
    <w:p>
      <w:pPr>
        <w:spacing w:after="0" w:line="196" w:lineRule="exact"/>
        <w:rPr>
          <w:rFonts w:ascii="Arial" w:cs="Arial" w:eastAsia="Arial" w:hAnsi="Arial"/>
          <w:sz w:val="22"/>
          <w:szCs w:val="22"/>
          <w:i w:val="1"/>
          <w:iCs w:val="1"/>
          <w:color w:val="auto"/>
        </w:rPr>
      </w:pPr>
    </w:p>
    <w:p>
      <w:pPr>
        <w:jc w:val="center"/>
        <w:ind w:left="3700" w:right="200" w:hanging="3497"/>
        <w:spacing w:after="0" w:line="259" w:lineRule="auto"/>
        <w:tabs>
          <w:tab w:leader="none" w:pos="411" w:val="left"/>
        </w:tabs>
        <w:numPr>
          <w:ilvl w:val="1"/>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Case study of a patient who previously received an anti-BCMA CAR-T showed an early complete response that was ongoing as of the data cutoff date --</w:t>
      </w:r>
    </w:p>
    <w:p>
      <w:pPr>
        <w:spacing w:after="0" w:line="183" w:lineRule="exact"/>
        <w:rPr>
          <w:rFonts w:ascii="Arial" w:cs="Arial" w:eastAsia="Arial" w:hAnsi="Arial"/>
          <w:sz w:val="22"/>
          <w:szCs w:val="22"/>
          <w:i w:val="1"/>
          <w:iCs w:val="1"/>
          <w:color w:val="auto"/>
        </w:rPr>
      </w:pPr>
    </w:p>
    <w:p>
      <w:pPr>
        <w:ind w:left="1840" w:hanging="198"/>
        <w:spacing w:after="0"/>
        <w:tabs>
          <w:tab w:leader="none" w:pos="1840" w:val="left"/>
        </w:tabs>
        <w:numPr>
          <w:ilvl w:val="2"/>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EHA oral presentation scheduled for Sunday, June 14, 2026, at 11:00am CEST --</w:t>
      </w:r>
    </w:p>
    <w:p>
      <w:pPr>
        <w:spacing w:after="0" w:line="247" w:lineRule="exact"/>
        <w:rPr>
          <w:sz w:val="20"/>
          <w:szCs w:val="20"/>
          <w:color w:val="auto"/>
        </w:rPr>
      </w:pPr>
    </w:p>
    <w:p>
      <w:pPr>
        <w:ind w:left="420" w:hanging="199"/>
        <w:spacing w:after="0"/>
        <w:tabs>
          <w:tab w:leader="none" w:pos="420" w:val="left"/>
        </w:tabs>
        <w:numPr>
          <w:ilvl w:val="0"/>
          <w:numId w:val="7"/>
        </w:numPr>
        <w:rPr>
          <w:rFonts w:ascii="Arial" w:cs="Arial" w:eastAsia="Arial" w:hAnsi="Arial"/>
          <w:sz w:val="22"/>
          <w:szCs w:val="22"/>
          <w:i w:val="1"/>
          <w:iCs w:val="1"/>
          <w:color w:val="auto"/>
        </w:rPr>
      </w:pPr>
      <w:r>
        <w:rPr>
          <w:rFonts w:ascii="Arial" w:cs="Arial" w:eastAsia="Arial" w:hAnsi="Arial"/>
          <w:sz w:val="22"/>
          <w:szCs w:val="22"/>
          <w:i w:val="1"/>
          <w:iCs w:val="1"/>
          <w:color w:val="auto"/>
        </w:rPr>
        <w:t>CaMMouflage phase 1 initial dose expansion data in BCMA-naïve and BCMA-exposed patients expected in H2</w:t>
      </w:r>
    </w:p>
    <w:p>
      <w:pPr>
        <w:spacing w:after="0" w:line="10" w:lineRule="exact"/>
        <w:rPr>
          <w:rFonts w:ascii="Arial" w:cs="Arial" w:eastAsia="Arial" w:hAnsi="Arial"/>
          <w:sz w:val="22"/>
          <w:szCs w:val="22"/>
          <w:i w:val="1"/>
          <w:iCs w:val="1"/>
          <w:color w:val="auto"/>
        </w:rPr>
      </w:pPr>
    </w:p>
    <w:p>
      <w:pPr>
        <w:ind w:left="528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2026 --</w:t>
      </w:r>
    </w:p>
    <w:p>
      <w:pPr>
        <w:spacing w:after="0" w:line="227" w:lineRule="exact"/>
        <w:rPr>
          <w:sz w:val="20"/>
          <w:szCs w:val="20"/>
          <w:color w:val="auto"/>
        </w:rPr>
      </w:pPr>
    </w:p>
    <w:p>
      <w:pPr>
        <w:ind w:right="280"/>
        <w:spacing w:after="0" w:line="233" w:lineRule="auto"/>
        <w:rPr>
          <w:sz w:val="20"/>
          <w:szCs w:val="20"/>
          <w:color w:val="auto"/>
        </w:rPr>
      </w:pPr>
      <w:r>
        <w:rPr>
          <w:rFonts w:ascii="Arial" w:cs="Arial" w:eastAsia="Arial" w:hAnsi="Arial"/>
          <w:sz w:val="22"/>
          <w:szCs w:val="22"/>
          <w:color w:val="auto"/>
        </w:rPr>
        <w:t>BERKELEY, Calif., June 11, 2026 (GLOBE NEWSWIRE) -- Caribou Biosciences, Inc. (Nasdaq: CRBU), a leading clinical-stage CRISPR genome-editing biopharmaceutical company, today reported longer follow up data for the ongoing CaMMouflage phase 1 trial of CB-011, the Company’s off-the-shelf CAR-T cell therapy being evaluated for relapsed or refractory multiple myeloma (r/r MM). A single dose of CB-011 produced early, deep, and durable responses in a high-risk, heavily pretreated BCMA-naïve patient population. The Company also reported a case study of a patient previously treated with an approved autologous CAR-T cell therapy who achieved an early complete response after treatment with CB-011. These data are being presented during an oral presentation at the 2026 European Hematology Association (EHA) Annual Meeting, taking place June 14, 2026, at 11:00am CEST, in Stockholm, Sweden.</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21"/>
          <w:szCs w:val="21"/>
          <w:color w:val="auto"/>
        </w:rPr>
        <w:t>“Despite recent advances, only about 10% of multiple myeloma patients receive autologous CAR-T cell therapy, highlighting the urgent need for more accessible treatment options,” said Binod Dhakal, MD, professor of medicine, Medical College of Wisconsin and investigator on the CaMMouflage trial. “The encouraging CB-011 clinical data demonstrate the potential of a single-dose, off-the-shelf CAR-T cell approach to deliver deep and durable responses, including MRD negativity, for heavily pretreated patients who often have limited treatment options.”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CaMMouflage BCMA-naïve dose escalation data</w:t>
      </w:r>
    </w:p>
    <w:p>
      <w:pPr>
        <w:spacing w:after="0" w:line="12" w:lineRule="exact"/>
        <w:rPr>
          <w:sz w:val="20"/>
          <w:szCs w:val="20"/>
          <w:color w:val="auto"/>
        </w:rPr>
      </w:pPr>
    </w:p>
    <w:p>
      <w:pPr>
        <w:ind w:right="40"/>
        <w:spacing w:after="0" w:line="223" w:lineRule="auto"/>
        <w:rPr>
          <w:sz w:val="20"/>
          <w:szCs w:val="20"/>
          <w:color w:val="auto"/>
        </w:rPr>
      </w:pPr>
      <w:r>
        <w:rPr>
          <w:rFonts w:ascii="Arial" w:cs="Arial" w:eastAsia="Arial" w:hAnsi="Arial"/>
          <w:sz w:val="22"/>
          <w:szCs w:val="22"/>
          <w:color w:val="auto"/>
        </w:rPr>
        <w:t>As of the May 26, 2026, efficacy data cutoff date, 48 patients had been treated with CB-011 in the dose escalation portion of the CaMMouflage phase 1 trial. The recommended dose for expansion (RDE) is 450 million CB-011 CAR-T cells after lymphodepletion (LD) with 500 mg/m</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cyclophosphamide and 30 mg/m</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fludarabine daily for three days (selected LD regimen).</w:t>
      </w:r>
    </w:p>
    <w:p>
      <w:pPr>
        <w:spacing w:after="0" w:line="218" w:lineRule="exact"/>
        <w:rPr>
          <w:sz w:val="20"/>
          <w:szCs w:val="20"/>
          <w:color w:val="auto"/>
        </w:rPr>
      </w:pPr>
    </w:p>
    <w:p>
      <w:pPr>
        <w:jc w:val="both"/>
        <w:ind w:right="640"/>
        <w:spacing w:after="0" w:line="241" w:lineRule="auto"/>
        <w:rPr>
          <w:sz w:val="20"/>
          <w:szCs w:val="20"/>
          <w:color w:val="auto"/>
        </w:rPr>
      </w:pPr>
      <w:r>
        <w:rPr>
          <w:rFonts w:ascii="Arial" w:cs="Arial" w:eastAsia="Arial" w:hAnsi="Arial"/>
          <w:sz w:val="22"/>
          <w:szCs w:val="22"/>
          <w:color w:val="auto"/>
        </w:rPr>
        <w:t>Twelve BCMA-naïve patients were treated with the RDE. Median follow up for this cohort is 17.7 months. Data continue to demonstrate that CB-011 drives deep, durable responses after a single dose. Details of the efficacy results for this cohort are as follows:</w:t>
      </w:r>
    </w:p>
    <w:p>
      <w:pPr>
        <w:ind w:left="620" w:hanging="288"/>
        <w:spacing w:after="0" w:line="230" w:lineRule="auto"/>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92% overall response rate (ORR)</w:t>
      </w:r>
    </w:p>
    <w:p>
      <w:pPr>
        <w:spacing w:after="0" w:line="1" w:lineRule="exact"/>
        <w:rPr>
          <w:rFonts w:ascii="Arial" w:cs="Arial" w:eastAsia="Arial" w:hAnsi="Arial"/>
          <w:sz w:val="22"/>
          <w:szCs w:val="22"/>
          <w:color w:val="auto"/>
        </w:rPr>
      </w:pPr>
    </w:p>
    <w:p>
      <w:pPr>
        <w:ind w:left="620" w:hanging="288"/>
        <w:spacing w:after="0"/>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83% complete response or stringent complete response (≥CR) rate</w:t>
      </w:r>
    </w:p>
    <w:p>
      <w:pPr>
        <w:spacing w:after="0" w:line="3"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91% minimal residual disease (MRD) negativity in 10/11 evaluable patients</w:t>
      </w:r>
    </w:p>
    <w:p>
      <w:pPr>
        <w:ind w:left="620" w:hanging="288"/>
        <w:spacing w:after="0"/>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50% of patients in ≥CR at 15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408555" cy="72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As of the April 20, 2026, safety data cutoff date, CB-011 continued to show a manageable safety profile with no cases of graft-versus-host disease (GvHD), immune effector cell-associated enterocolitis, parkinsonism, or cranial nerve palsies in any patient treated with CB-011 (N=48). In all patients treated with the selected LD regimen (N=35), there was one CB-011-related death due to immune effector cell-associated hematotoxicity and three unrelated deaths due to pneumonia, respiratory syncytial virus, and respiratory acidosis, respectively. In the 12-patient BCMA-naive RDE cohort, there were no reports of grade 3 or higher (≥Gr 3) immune effector cell-associated neurotoxicity syndrome (ICANS), and one (8%) ≥Gr 3 cytokine release syndrome (CRS). Other adverse events of special interest in the RDE cohort included three (25%) ≥Gr 3 infections, one (8%) ≥Gr 3 immune effector cell-associated HLH-like syndrome, and five (42%; 5/12) ≥Gr 3 prolonged cytopenias.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CaMMouflage patient case study after prior BCMA-targeted therapy</w:t>
      </w:r>
    </w:p>
    <w:p>
      <w:pPr>
        <w:spacing w:after="0" w:line="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Caribou also reported a patient case study of a 71-year-old male with r/r MM who received eight prior lines of therapy, including ciltacabtagene autoleucel, an approved autologous CAR-T cell therapy. Before entering CaMMouflage, the patient never achieved a complete response following any of his post-front-line therapies. After receiving a single dose of 450 million CB-011 CAR-T cells (the RDE), the patient achieved a CR at day 28 that was maintained at month 3 and remained ongoing as of the May 26, 2026, efficacy data cutoff date.</w:t>
      </w:r>
    </w:p>
    <w:p>
      <w:pPr>
        <w:spacing w:after="0" w:line="221"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The safety profile for this patient was manageable, with grade 1 CRS and grade 3/4 aspartate aminotransferase (AST)/alanine aminotransferase (ALT) elevation. The patient had a history of intermittent ALT elevation prior to enrolling in CaMMouflage. Translational data showed robust CB-011 CAR-T cell expansion and a rapid decrease in serum free light chains that correlated with the patient achieving a CR.</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“The durability and depth of response we continue to observe with CB-011 reinforce its potential as a single-dose, off-the-shelf approach that could meaningfully expand access to cellular therapies and change the treatment paradigm for patients with relapsed or refractory multiple myeloma,” said Rachel Haurwitz, PhD, Caribou’s president and CEO. “Unlike currently available off-the-shelf treatment approaches that require ongoing administration, CB-011 has demonstrated delivery of deep and durable responses following single infusions, providing patients the potential for a treatment-free period. We are encouraged by the emerging translational and clinical data from both BCMA-naïve and BCMA-exposed patients and look forward to reporting initial dose expansion data in the second half of this year.”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EHA oral presentation details</w:t>
      </w:r>
    </w:p>
    <w:p>
      <w:pPr>
        <w:spacing w:after="0" w:line="26" w:lineRule="exact"/>
        <w:rPr>
          <w:sz w:val="20"/>
          <w:szCs w:val="20"/>
          <w:color w:val="auto"/>
        </w:rPr>
      </w:pPr>
    </w:p>
    <w:p>
      <w:pPr>
        <w:ind w:left="660" w:right="1140"/>
        <w:spacing w:after="0" w:line="230" w:lineRule="auto"/>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CB-011, an allogeneic anti-BCMA CAR-T cell therapy with immune cloaking, for patients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relapsed/refractory multiple myeloma (CaMMouflage phase 1 trial)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Presenter: </w:t>
      </w:r>
      <w:r>
        <w:rPr>
          <w:rFonts w:ascii="Arial" w:cs="Arial" w:eastAsia="Arial" w:hAnsi="Arial"/>
          <w:sz w:val="22"/>
          <w:szCs w:val="22"/>
          <w:color w:val="auto"/>
        </w:rPr>
        <w:t>Binod Dhakal, MD, professor of medicine, Medical College of Wisconsin</w:t>
      </w:r>
    </w:p>
    <w:p>
      <w:pPr>
        <w:ind w:left="660"/>
        <w:spacing w:after="0" w:line="233" w:lineRule="auto"/>
        <w:rPr>
          <w:sz w:val="20"/>
          <w:szCs w:val="20"/>
          <w:color w:val="auto"/>
        </w:rPr>
      </w:pPr>
      <w:r>
        <w:rPr>
          <w:rFonts w:ascii="Arial" w:cs="Arial" w:eastAsia="Arial" w:hAnsi="Arial"/>
          <w:sz w:val="22"/>
          <w:szCs w:val="22"/>
          <w:b w:val="1"/>
          <w:bCs w:val="1"/>
          <w:color w:val="auto"/>
        </w:rPr>
        <w:t xml:space="preserve">Date and time: </w:t>
      </w:r>
      <w:r>
        <w:rPr>
          <w:rFonts w:ascii="Arial" w:cs="Arial" w:eastAsia="Arial" w:hAnsi="Arial"/>
          <w:sz w:val="22"/>
          <w:szCs w:val="22"/>
          <w:color w:val="auto"/>
        </w:rPr>
        <w:t>Sunday, June 14, 2026, at 11:00am - 12:15pm CEST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Session: </w:t>
      </w:r>
      <w:r>
        <w:rPr>
          <w:rFonts w:ascii="Arial" w:cs="Arial" w:eastAsia="Arial" w:hAnsi="Arial"/>
          <w:sz w:val="22"/>
          <w:szCs w:val="22"/>
          <w:color w:val="auto"/>
        </w:rPr>
        <w:t>Immunotherapy in multiple myeloma</w:t>
      </w:r>
    </w:p>
    <w:p>
      <w:pPr>
        <w:ind w:left="660"/>
        <w:spacing w:after="0" w:line="233" w:lineRule="auto"/>
        <w:rPr>
          <w:sz w:val="20"/>
          <w:szCs w:val="20"/>
          <w:color w:val="auto"/>
        </w:rPr>
      </w:pPr>
      <w:r>
        <w:rPr>
          <w:rFonts w:ascii="Arial" w:cs="Arial" w:eastAsia="Arial" w:hAnsi="Arial"/>
          <w:sz w:val="22"/>
          <w:szCs w:val="22"/>
          <w:b w:val="1"/>
          <w:bCs w:val="1"/>
          <w:color w:val="auto"/>
        </w:rPr>
        <w:t xml:space="preserve">Location: </w:t>
      </w:r>
      <w:r>
        <w:rPr>
          <w:rFonts w:ascii="Arial" w:cs="Arial" w:eastAsia="Arial" w:hAnsi="Arial"/>
          <w:sz w:val="22"/>
          <w:szCs w:val="22"/>
          <w:color w:val="auto"/>
        </w:rPr>
        <w:t>Victoria Hall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Abstract number: </w:t>
      </w:r>
      <w:r>
        <w:rPr>
          <w:rFonts w:ascii="Arial" w:cs="Arial" w:eastAsia="Arial" w:hAnsi="Arial"/>
          <w:sz w:val="22"/>
          <w:szCs w:val="22"/>
          <w:color w:val="auto"/>
        </w:rPr>
        <w:t>S201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40855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About CB-011</w:t>
      </w:r>
    </w:p>
    <w:p>
      <w:pPr>
        <w:spacing w:after="0" w:line="12"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CB-011 is an allogeneic anti-BCMA CAR-T cell therapy being evaluated in patients with relapsed or refractory multiple myeloma (r/r MM). To Caribou’s knowledge, CB-011 is the first allogeneic CAR-T cell therapy in the clinic that is engineered to enable activity through an immune cloaking strategy with a B2M knockout and insertion of a B2M– HLA-E-peptide fusion protein to blunt immune-mediated rejection. The FDA granted CB-011 RMAT, Fast Track, and Orphan Drug designations for r/r MM.</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About the CaMMouflage phase 1 clinical trial</w:t>
      </w:r>
    </w:p>
    <w:p>
      <w:pPr>
        <w:spacing w:after="0" w:line="26" w:lineRule="exact"/>
        <w:rPr>
          <w:sz w:val="20"/>
          <w:szCs w:val="20"/>
          <w:color w:val="auto"/>
        </w:rPr>
      </w:pPr>
    </w:p>
    <w:p>
      <w:pPr>
        <w:spacing w:after="0" w:line="230" w:lineRule="auto"/>
        <w:rPr>
          <w:sz w:val="20"/>
          <w:szCs w:val="20"/>
          <w:color w:val="auto"/>
        </w:rPr>
      </w:pPr>
      <w:r>
        <w:rPr>
          <w:rFonts w:ascii="Arial" w:cs="Arial" w:eastAsia="Arial" w:hAnsi="Arial"/>
          <w:sz w:val="21"/>
          <w:szCs w:val="21"/>
          <w:color w:val="auto"/>
        </w:rPr>
        <w:t>The CaMMouflage clinical trial is a multicenter, open-label phase 1 trial evaluating CB-011 in adults with r/r MM who have been treated with three or more prior lines of therapy. Using a 3+3 dose escalation design, safety and efficacy of CB-011 were evaluated in 48 patients at multiple dose levels and two different lymphodepletion (LD) regimens. Thirty-five patients were treated with a single dose of CB-011 (150 million [N=6], 300 million [N=13], 450 million [N=13], and 800 million [N=3] CAR-T cells) with an LD regimen of 500 mg/m</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cyclophosphamide and 30 mg/m</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fludarabine daily for three days. The dose expansion portion of the trial is evaluating safety and efficacy of 450 million CB-011 CAR-T cells with the selected LD of 500 mg/m</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cyclophosphamide and 30 mg/m</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fludarabine daily for three days. Additional information on the CaMMouflage trial (NCT05722418) can be found at www.clinicaltrials.gov.</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About Caribou Biosciences, Inc.</w:t>
      </w:r>
    </w:p>
    <w:p>
      <w:pPr>
        <w:spacing w:after="0" w:line="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Caribou is a clinical-stage CRISPR genome-editing biopharmaceutical company dedicated to developing transformative therapies for patients with devastating diseases. Caribou’s chRDNA genome-editing technology enables superior precision to develop cell therapies that are armored to potentially improve activity against diseases. Caribou is focused on vispacabtagene regedleucel (vispa-cel) and CB-011 as off-the-shelf CAR-T cell therapies that have the potential to provide broad access and rapid treatment for patients with hematologic malignancies. Follow the company @CaribouBio and visit www.cariboubio.com.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24F74"/>
        </w:rPr>
        <w:t>Forward-looking statements and important information</w:t>
      </w:r>
    </w:p>
    <w:p>
      <w:pPr>
        <w:spacing w:after="0" w:line="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These forward-looking statements include, but are not limited to, any statements regarding the initiation, timing, progress, strategy, plans, objectives, expectations (including as to the results) with respect to the Company’s CAR-T cell therapy product candidate clinical trials, including its expectations regarding reporting dose expansion data in 2026 from its ongoing CaMMouflage phase 1 clinical trial for CB-011 in patients with r/r MM; its ability to successfully develop its CAR-T cell therapy product candidates and to obtain and maintain regulatory approval for these product candidates; the likelihood of its clinical trials demonstrating safety and efficacy of its CAR-T cell therapy product candidates; the beneficial characteristics, safety, efficacy, therapeutic effects, and potential advantages of its CAR-T cell therapy product candidates; and the expected timing or likelihood of regulatory filings and approval for its CAR-T cell therapy product candidates. Management believes that these forward-looking statements are reasonable as and when made.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408555" cy="72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085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However, such forward-looking statements are subject to risks and uncertainties, and actual results may differ materially from any future results expressed or implied by the forward-looking statements. Risks and uncertainties include, without limitation, risks inherent in the development of allogeneic CAR-T cell therapy products; uncertainties related to the initiation, cost, timing, progress, and results of its current and future clinical trials; the risk that initial, preliminary, or interim clinical trial data will not ultimately be predictive of the safety and efficacy of its CAR-T cell therapy product candidates or that clinical outcomes may differ as patient enrollment continues and as more patient data becomes available; the risk that different conclusions or considerations are reached once additional data have been received and fully evaluated; the ability to obtain key regulatory input and approvals; and risks related to its limited operating history, history of net operating losses, financial position, and its ability to raise additional capital as needed to fund its operations and CAR-T cell therapy product candidate development, including the ability to fully fund its pivotal phase 3 clinical trial for vispa-cel; as well as other risk factors described from time to time in the Company’s filings with the Securities and Exchange Commission (SEC), including its Annual Report on Form 10-K for the year ended December 31, 2025, and subsequent SEC filings. In light of the significant uncertainties in these forward-looking statements, you should not rely upon forward-looking statements as predictions of future events. Except as required by law, the Company undertakes no obligation to update publicly any forward-looking statements for any reason.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Caribou Biosciences, Inc. contact: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Peggy Vorwald, PhD</w:t>
      </w:r>
    </w:p>
    <w:p>
      <w:pPr>
        <w:spacing w:after="0" w:line="230" w:lineRule="auto"/>
        <w:rPr>
          <w:sz w:val="20"/>
          <w:szCs w:val="20"/>
          <w:color w:val="auto"/>
        </w:rPr>
      </w:pPr>
      <w:r>
        <w:rPr>
          <w:rFonts w:ascii="Arial" w:cs="Arial" w:eastAsia="Arial" w:hAnsi="Arial"/>
          <w:sz w:val="22"/>
          <w:szCs w:val="22"/>
          <w:color w:val="auto"/>
        </w:rPr>
        <w:t>investor.relations@cariboubio.com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media@cariboubio.com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2026-06-11T07:04:25Z</dcterms:created>
  <dcterms:modified xsi:type="dcterms:W3CDTF">2026-06-11T07:04:25Z</dcterms:modified>
</cp:coreProperties>
</file>